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64CF7" w14:textId="77777777" w:rsidR="00D64EA2" w:rsidRPr="00D64EA2" w:rsidRDefault="00D64EA2" w:rsidP="00D64EA2">
      <w:pPr>
        <w:shd w:val="clear" w:color="auto" w:fill="FFFFFF"/>
        <w:spacing w:after="675" w:line="240" w:lineRule="auto"/>
        <w:jc w:val="center"/>
        <w:outlineLvl w:val="0"/>
        <w:rPr>
          <w:rFonts w:ascii="Arial" w:eastAsia="Times New Roman" w:hAnsi="Arial" w:cs="Arial"/>
          <w:color w:val="C10000"/>
          <w:kern w:val="36"/>
          <w:sz w:val="60"/>
          <w:szCs w:val="60"/>
          <w:lang w:eastAsia="cs-CZ"/>
        </w:rPr>
      </w:pPr>
      <w:r w:rsidRPr="00D64EA2">
        <w:rPr>
          <w:rFonts w:ascii="Arial" w:eastAsia="Times New Roman" w:hAnsi="Arial" w:cs="Arial"/>
          <w:color w:val="C10000"/>
          <w:kern w:val="36"/>
          <w:sz w:val="60"/>
          <w:szCs w:val="60"/>
          <w:lang w:eastAsia="cs-CZ"/>
        </w:rPr>
        <w:t>Kritéria řízení</w:t>
      </w:r>
    </w:p>
    <w:p w14:paraId="096396B8" w14:textId="77777777" w:rsidR="00D64EA2" w:rsidRPr="00D64EA2" w:rsidRDefault="00D64EA2" w:rsidP="00D64EA2">
      <w:pPr>
        <w:shd w:val="clear" w:color="auto" w:fill="EDE6D4"/>
        <w:spacing w:after="225" w:line="240" w:lineRule="auto"/>
        <w:outlineLvl w:val="1"/>
        <w:rPr>
          <w:rFonts w:ascii="Arial" w:eastAsia="Times New Roman" w:hAnsi="Arial" w:cs="Arial"/>
          <w:color w:val="000000"/>
          <w:sz w:val="45"/>
          <w:szCs w:val="45"/>
          <w:lang w:eastAsia="cs-CZ"/>
        </w:rPr>
      </w:pPr>
      <w:r w:rsidRPr="00D64EA2">
        <w:rPr>
          <w:rFonts w:ascii="Arial" w:eastAsia="Times New Roman" w:hAnsi="Arial" w:cs="Arial"/>
          <w:color w:val="000000"/>
          <w:sz w:val="45"/>
          <w:szCs w:val="45"/>
          <w:lang w:eastAsia="cs-CZ"/>
        </w:rPr>
        <w:t>Kritéria pro stanovení pořadí přijetí dětí do mateřských škol</w:t>
      </w:r>
    </w:p>
    <w:p w14:paraId="4C99D567" w14:textId="77777777" w:rsidR="00D64EA2" w:rsidRPr="00D64EA2" w:rsidRDefault="00D64EA2" w:rsidP="00D64EA2">
      <w:pPr>
        <w:pBdr>
          <w:bottom w:val="dashed" w:sz="6" w:space="8" w:color="AAAAAA"/>
        </w:pBdr>
        <w:shd w:val="clear" w:color="auto" w:fill="EDE6D4"/>
        <w:spacing w:after="225" w:line="240" w:lineRule="auto"/>
        <w:outlineLvl w:val="2"/>
        <w:rPr>
          <w:rFonts w:ascii="Arial" w:eastAsia="Times New Roman" w:hAnsi="Arial" w:cs="Arial"/>
          <w:color w:val="000000"/>
          <w:sz w:val="36"/>
          <w:szCs w:val="36"/>
          <w:lang w:eastAsia="cs-CZ"/>
        </w:rPr>
      </w:pPr>
      <w:r w:rsidRPr="00D64EA2">
        <w:rPr>
          <w:rFonts w:ascii="Arial" w:eastAsia="Times New Roman" w:hAnsi="Arial" w:cs="Arial"/>
          <w:color w:val="000000"/>
          <w:sz w:val="36"/>
          <w:szCs w:val="36"/>
          <w:lang w:eastAsia="cs-CZ"/>
        </w:rPr>
        <w:t>I. Kritéria pro přijímání dětí s místem trvalého pobytu v příslušném školském obvodu MŠ, které před 31. 8. 2020 dosáhnou nejméně třetího roku věku (přednostní přijetí) </w:t>
      </w:r>
      <w:hyperlink r:id="rId5" w:anchor="krit1" w:history="1">
        <w:r w:rsidRPr="00D64EA2">
          <w:rPr>
            <w:rFonts w:ascii="Arial" w:eastAsia="Times New Roman" w:hAnsi="Arial" w:cs="Arial"/>
            <w:color w:val="C10000"/>
            <w:sz w:val="27"/>
            <w:szCs w:val="27"/>
            <w:u w:val="single"/>
            <w:vertAlign w:val="superscript"/>
            <w:lang w:eastAsia="cs-CZ"/>
          </w:rPr>
          <w:t>1)</w:t>
        </w:r>
      </w:hyperlink>
    </w:p>
    <w:p w14:paraId="449CB1FA"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Trvalý pobyt dítěte</w:t>
      </w:r>
    </w:p>
    <w:p w14:paraId="4A648A54" w14:textId="77777777" w:rsidR="00D64EA2" w:rsidRPr="00D64EA2" w:rsidRDefault="00D64EA2" w:rsidP="00D64EA2">
      <w:pPr>
        <w:numPr>
          <w:ilvl w:val="0"/>
          <w:numId w:val="1"/>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 xml:space="preserve">místo trvalého pobytu dítěte nebo umístění dítěte v dětském domově ve školském obvodu </w:t>
      </w:r>
      <w:proofErr w:type="gramStart"/>
      <w:r w:rsidRPr="00D64EA2">
        <w:rPr>
          <w:rFonts w:ascii="Arial" w:eastAsia="Times New Roman" w:hAnsi="Arial" w:cs="Arial"/>
          <w:color w:val="000000"/>
          <w:sz w:val="21"/>
          <w:szCs w:val="21"/>
          <w:lang w:eastAsia="cs-CZ"/>
        </w:rPr>
        <w:t>MŠ :</w:t>
      </w:r>
      <w:proofErr w:type="gramEnd"/>
      <w:r w:rsidRPr="00D64EA2">
        <w:rPr>
          <w:rFonts w:ascii="Arial" w:eastAsia="Times New Roman" w:hAnsi="Arial" w:cs="Arial"/>
          <w:color w:val="000000"/>
          <w:sz w:val="21"/>
          <w:szCs w:val="21"/>
          <w:lang w:eastAsia="cs-CZ"/>
        </w:rPr>
        <w:t> </w:t>
      </w:r>
      <w:r w:rsidRPr="00D64EA2">
        <w:rPr>
          <w:rFonts w:ascii="Arial" w:eastAsia="Times New Roman" w:hAnsi="Arial" w:cs="Arial"/>
          <w:b/>
          <w:bCs/>
          <w:color w:val="000000"/>
          <w:sz w:val="21"/>
          <w:szCs w:val="21"/>
          <w:lang w:eastAsia="cs-CZ"/>
        </w:rPr>
        <w:t>1000 bodů</w:t>
      </w:r>
    </w:p>
    <w:p w14:paraId="0E1B8F70" w14:textId="77777777" w:rsidR="00D64EA2" w:rsidRPr="00D64EA2" w:rsidRDefault="00D64EA2" w:rsidP="00D64EA2">
      <w:pPr>
        <w:numPr>
          <w:ilvl w:val="0"/>
          <w:numId w:val="1"/>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 xml:space="preserve">místo trvalého pobytu dítěte mimo školský obvod </w:t>
      </w:r>
      <w:proofErr w:type="gramStart"/>
      <w:r w:rsidRPr="00D64EA2">
        <w:rPr>
          <w:rFonts w:ascii="Arial" w:eastAsia="Times New Roman" w:hAnsi="Arial" w:cs="Arial"/>
          <w:color w:val="000000"/>
          <w:sz w:val="21"/>
          <w:szCs w:val="21"/>
          <w:lang w:eastAsia="cs-CZ"/>
        </w:rPr>
        <w:t>MŠ :</w:t>
      </w:r>
      <w:proofErr w:type="gramEnd"/>
      <w:r w:rsidRPr="00D64EA2">
        <w:rPr>
          <w:rFonts w:ascii="Arial" w:eastAsia="Times New Roman" w:hAnsi="Arial" w:cs="Arial"/>
          <w:color w:val="000000"/>
          <w:sz w:val="21"/>
          <w:szCs w:val="21"/>
          <w:lang w:eastAsia="cs-CZ"/>
        </w:rPr>
        <w:t> </w:t>
      </w:r>
      <w:r w:rsidRPr="00D64EA2">
        <w:rPr>
          <w:rFonts w:ascii="Arial" w:eastAsia="Times New Roman" w:hAnsi="Arial" w:cs="Arial"/>
          <w:b/>
          <w:bCs/>
          <w:color w:val="000000"/>
          <w:sz w:val="21"/>
          <w:szCs w:val="21"/>
          <w:lang w:eastAsia="cs-CZ"/>
        </w:rPr>
        <w:t>0 bodů</w:t>
      </w:r>
    </w:p>
    <w:p w14:paraId="525A63C6"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Věková skupina</w:t>
      </w:r>
    </w:p>
    <w:p w14:paraId="70B28396" w14:textId="77777777" w:rsidR="00D64EA2" w:rsidRPr="00D64EA2" w:rsidRDefault="00D64EA2" w:rsidP="00D64EA2">
      <w:pPr>
        <w:numPr>
          <w:ilvl w:val="0"/>
          <w:numId w:val="2"/>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Pětiletí a starší: </w:t>
      </w:r>
      <w:r w:rsidRPr="00D64EA2">
        <w:rPr>
          <w:rFonts w:ascii="Arial" w:eastAsia="Times New Roman" w:hAnsi="Arial" w:cs="Arial"/>
          <w:b/>
          <w:bCs/>
          <w:color w:val="000000"/>
          <w:sz w:val="21"/>
          <w:szCs w:val="21"/>
          <w:lang w:eastAsia="cs-CZ"/>
        </w:rPr>
        <w:t>2080 bodů</w:t>
      </w:r>
    </w:p>
    <w:p w14:paraId="0B6EF779" w14:textId="77777777" w:rsidR="00D64EA2" w:rsidRPr="00D64EA2" w:rsidRDefault="00D64EA2" w:rsidP="00D64EA2">
      <w:pPr>
        <w:numPr>
          <w:ilvl w:val="0"/>
          <w:numId w:val="2"/>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čtyřletí: </w:t>
      </w:r>
      <w:r w:rsidRPr="00D64EA2">
        <w:rPr>
          <w:rFonts w:ascii="Arial" w:eastAsia="Times New Roman" w:hAnsi="Arial" w:cs="Arial"/>
          <w:b/>
          <w:bCs/>
          <w:color w:val="000000"/>
          <w:sz w:val="21"/>
          <w:szCs w:val="21"/>
          <w:lang w:eastAsia="cs-CZ"/>
        </w:rPr>
        <w:t>2040 bodů</w:t>
      </w:r>
    </w:p>
    <w:p w14:paraId="3B1898AD" w14:textId="77777777" w:rsidR="00D64EA2" w:rsidRPr="00D64EA2" w:rsidRDefault="00D64EA2" w:rsidP="00D64EA2">
      <w:pPr>
        <w:numPr>
          <w:ilvl w:val="0"/>
          <w:numId w:val="2"/>
        </w:numPr>
        <w:shd w:val="clear" w:color="auto" w:fill="EDE6D4"/>
        <w:spacing w:before="100" w:beforeAutospacing="1" w:after="150" w:line="240" w:lineRule="auto"/>
        <w:rPr>
          <w:rFonts w:ascii="Arial" w:eastAsia="Times New Roman" w:hAnsi="Arial" w:cs="Arial"/>
          <w:color w:val="000000"/>
          <w:sz w:val="21"/>
          <w:szCs w:val="21"/>
          <w:lang w:eastAsia="cs-CZ"/>
        </w:rPr>
      </w:pPr>
      <w:proofErr w:type="gramStart"/>
      <w:r w:rsidRPr="00D64EA2">
        <w:rPr>
          <w:rFonts w:ascii="Arial" w:eastAsia="Times New Roman" w:hAnsi="Arial" w:cs="Arial"/>
          <w:color w:val="000000"/>
          <w:sz w:val="21"/>
          <w:szCs w:val="21"/>
          <w:lang w:eastAsia="cs-CZ"/>
        </w:rPr>
        <w:t>tříletí:</w:t>
      </w:r>
      <w:r w:rsidRPr="00D64EA2">
        <w:rPr>
          <w:rFonts w:ascii="Arial" w:eastAsia="Times New Roman" w:hAnsi="Arial" w:cs="Arial"/>
          <w:b/>
          <w:bCs/>
          <w:color w:val="000000"/>
          <w:sz w:val="21"/>
          <w:szCs w:val="21"/>
          <w:lang w:eastAsia="cs-CZ"/>
        </w:rPr>
        <w:t>  2000</w:t>
      </w:r>
      <w:proofErr w:type="gramEnd"/>
      <w:r w:rsidRPr="00D64EA2">
        <w:rPr>
          <w:rFonts w:ascii="Arial" w:eastAsia="Times New Roman" w:hAnsi="Arial" w:cs="Arial"/>
          <w:b/>
          <w:bCs/>
          <w:color w:val="000000"/>
          <w:sz w:val="21"/>
          <w:szCs w:val="21"/>
          <w:lang w:eastAsia="cs-CZ"/>
        </w:rPr>
        <w:t xml:space="preserve"> bodů</w:t>
      </w:r>
    </w:p>
    <w:p w14:paraId="39A5F5C5"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proofErr w:type="gramStart"/>
      <w:r w:rsidRPr="00D64EA2">
        <w:rPr>
          <w:rFonts w:ascii="Arial" w:eastAsia="Times New Roman" w:hAnsi="Arial" w:cs="Arial"/>
          <w:color w:val="000000"/>
          <w:sz w:val="27"/>
          <w:szCs w:val="27"/>
          <w:u w:val="single"/>
          <w:lang w:eastAsia="cs-CZ"/>
        </w:rPr>
        <w:t>Docházka - tříletí</w:t>
      </w:r>
      <w:proofErr w:type="gramEnd"/>
      <w:r w:rsidRPr="00D64EA2">
        <w:rPr>
          <w:rFonts w:ascii="Arial" w:eastAsia="Times New Roman" w:hAnsi="Arial" w:cs="Arial"/>
          <w:color w:val="000000"/>
          <w:sz w:val="27"/>
          <w:szCs w:val="27"/>
          <w:u w:val="single"/>
          <w:lang w:eastAsia="cs-CZ"/>
        </w:rPr>
        <w:t xml:space="preserve"> a čtyřletí</w:t>
      </w:r>
    </w:p>
    <w:p w14:paraId="2ED26700" w14:textId="77777777" w:rsidR="00D64EA2" w:rsidRPr="00D64EA2" w:rsidRDefault="00D64EA2" w:rsidP="00D64EA2">
      <w:pPr>
        <w:numPr>
          <w:ilvl w:val="0"/>
          <w:numId w:val="3"/>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tříletí a čtyřletí s celodenní délkou pobytu: </w:t>
      </w:r>
      <w:r w:rsidRPr="00D64EA2">
        <w:rPr>
          <w:rFonts w:ascii="Arial" w:eastAsia="Times New Roman" w:hAnsi="Arial" w:cs="Arial"/>
          <w:b/>
          <w:bCs/>
          <w:color w:val="000000"/>
          <w:sz w:val="21"/>
          <w:szCs w:val="21"/>
          <w:lang w:eastAsia="cs-CZ"/>
        </w:rPr>
        <w:t>20 bodů</w:t>
      </w:r>
    </w:p>
    <w:p w14:paraId="58C63C12" w14:textId="77777777" w:rsidR="00D64EA2" w:rsidRPr="00D64EA2" w:rsidRDefault="00D64EA2" w:rsidP="00D64EA2">
      <w:pPr>
        <w:numPr>
          <w:ilvl w:val="0"/>
          <w:numId w:val="3"/>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tříletí a čtyřletí s půldenní délkou pobytu: </w:t>
      </w:r>
      <w:r w:rsidRPr="00D64EA2">
        <w:rPr>
          <w:rFonts w:ascii="Arial" w:eastAsia="Times New Roman" w:hAnsi="Arial" w:cs="Arial"/>
          <w:b/>
          <w:bCs/>
          <w:color w:val="000000"/>
          <w:sz w:val="21"/>
          <w:szCs w:val="21"/>
          <w:lang w:eastAsia="cs-CZ"/>
        </w:rPr>
        <w:t>0 bodů</w:t>
      </w:r>
    </w:p>
    <w:p w14:paraId="47FB6CE9" w14:textId="77777777" w:rsidR="00D64EA2" w:rsidRPr="00D64EA2" w:rsidRDefault="00D64EA2" w:rsidP="00D64EA2">
      <w:pPr>
        <w:shd w:val="clear" w:color="auto" w:fill="EDE6D4"/>
        <w:spacing w:after="150" w:line="240" w:lineRule="auto"/>
        <w:rPr>
          <w:rFonts w:ascii="Arial" w:eastAsia="Times New Roman" w:hAnsi="Arial" w:cs="Arial"/>
          <w:color w:val="000000"/>
          <w:sz w:val="21"/>
          <w:szCs w:val="21"/>
          <w:lang w:eastAsia="cs-CZ"/>
        </w:rPr>
      </w:pPr>
      <w:bookmarkStart w:id="0" w:name="krit1"/>
      <w:bookmarkEnd w:id="0"/>
      <w:r w:rsidRPr="00D64EA2">
        <w:rPr>
          <w:rFonts w:ascii="Arial" w:eastAsia="Times New Roman" w:hAnsi="Arial" w:cs="Arial"/>
          <w:color w:val="000000"/>
          <w:sz w:val="21"/>
          <w:szCs w:val="21"/>
          <w:lang w:eastAsia="cs-CZ"/>
        </w:rPr>
        <w:t> </w:t>
      </w:r>
    </w:p>
    <w:p w14:paraId="138DEF7A" w14:textId="77777777" w:rsidR="00D64EA2" w:rsidRPr="00D64EA2" w:rsidRDefault="00D64EA2" w:rsidP="00D64EA2">
      <w:pPr>
        <w:pBdr>
          <w:top w:val="single" w:sz="6" w:space="8" w:color="AAAAAA"/>
          <w:left w:val="single" w:sz="6" w:space="8" w:color="AAAAAA"/>
          <w:bottom w:val="single" w:sz="6" w:space="8" w:color="AAAAAA"/>
          <w:right w:val="single" w:sz="6" w:space="8" w:color="AAAAAA"/>
        </w:pBdr>
        <w:shd w:val="clear" w:color="auto" w:fill="F7F7F7"/>
        <w:spacing w:after="150" w:line="240" w:lineRule="auto"/>
        <w:jc w:val="both"/>
        <w:rPr>
          <w:rFonts w:ascii="Arial" w:eastAsia="Times New Roman" w:hAnsi="Arial" w:cs="Arial"/>
          <w:color w:val="000000"/>
          <w:sz w:val="21"/>
          <w:szCs w:val="21"/>
          <w:lang w:eastAsia="cs-CZ"/>
        </w:rPr>
      </w:pPr>
      <w:r w:rsidRPr="00D64EA2">
        <w:rPr>
          <w:rFonts w:ascii="Arial" w:eastAsia="Times New Roman" w:hAnsi="Arial" w:cs="Arial"/>
          <w:color w:val="000000"/>
          <w:sz w:val="16"/>
          <w:szCs w:val="16"/>
          <w:vertAlign w:val="superscript"/>
          <w:lang w:eastAsia="cs-CZ"/>
        </w:rPr>
        <w:t>1)</w:t>
      </w:r>
      <w:r w:rsidRPr="00D64EA2">
        <w:rPr>
          <w:rFonts w:ascii="Arial" w:eastAsia="Times New Roman" w:hAnsi="Arial" w:cs="Arial"/>
          <w:color w:val="000000"/>
          <w:sz w:val="21"/>
          <w:szCs w:val="21"/>
          <w:lang w:eastAsia="cs-CZ"/>
        </w:rPr>
        <w:t> Pozn: Výše uvedená kritéria se uplatní pouze pro děti, které do 31. 8. 2020 dosáhnou nejméně třetího roku věku, pokud mají místo trvalého pobytu, v případě cizinců místo pobytu, v příslušném školském obvodu nebo umístěné v tomto spádovém obvodu v dětském domově. Trvalý pobyt dítěte se vždy posuzuje ke dni vydání rozhodnutí. Věk dítěte počítán k 31. 8. 2020. V případě nedostatečné kapacity se pořadí přijetí určí losováním za účasti vedení školy a zástupce zřizovatele.</w:t>
      </w:r>
    </w:p>
    <w:p w14:paraId="4728E413" w14:textId="77777777" w:rsidR="00D64EA2" w:rsidRPr="00D64EA2" w:rsidRDefault="00D64EA2" w:rsidP="00D64EA2">
      <w:pPr>
        <w:shd w:val="clear" w:color="auto" w:fill="EDE6D4"/>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 </w:t>
      </w:r>
    </w:p>
    <w:p w14:paraId="06C2950E" w14:textId="77777777" w:rsidR="00D64EA2" w:rsidRPr="00D64EA2" w:rsidRDefault="00D64EA2" w:rsidP="00D64EA2">
      <w:pPr>
        <w:pBdr>
          <w:bottom w:val="dashed" w:sz="6" w:space="8" w:color="AAAAAA"/>
        </w:pBdr>
        <w:shd w:val="clear" w:color="auto" w:fill="EDE6D4"/>
        <w:spacing w:after="225" w:line="240" w:lineRule="auto"/>
        <w:outlineLvl w:val="2"/>
        <w:rPr>
          <w:rFonts w:ascii="Arial" w:eastAsia="Times New Roman" w:hAnsi="Arial" w:cs="Arial"/>
          <w:color w:val="000000"/>
          <w:sz w:val="36"/>
          <w:szCs w:val="36"/>
          <w:lang w:eastAsia="cs-CZ"/>
        </w:rPr>
      </w:pPr>
      <w:r w:rsidRPr="00D64EA2">
        <w:rPr>
          <w:rFonts w:ascii="Arial" w:eastAsia="Times New Roman" w:hAnsi="Arial" w:cs="Arial"/>
          <w:color w:val="000000"/>
          <w:sz w:val="36"/>
          <w:szCs w:val="36"/>
          <w:lang w:eastAsia="cs-CZ"/>
        </w:rPr>
        <w:t>II. Kritéria pro přijímání ostatních dětí </w:t>
      </w:r>
      <w:hyperlink r:id="rId6" w:anchor="krit2" w:history="1">
        <w:r w:rsidRPr="00D64EA2">
          <w:rPr>
            <w:rFonts w:ascii="Arial" w:eastAsia="Times New Roman" w:hAnsi="Arial" w:cs="Arial"/>
            <w:color w:val="C10000"/>
            <w:sz w:val="27"/>
            <w:szCs w:val="27"/>
            <w:u w:val="single"/>
            <w:vertAlign w:val="superscript"/>
            <w:lang w:eastAsia="cs-CZ"/>
          </w:rPr>
          <w:t>2)</w:t>
        </w:r>
      </w:hyperlink>
    </w:p>
    <w:p w14:paraId="71DCFFFE"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Věková skupina</w:t>
      </w:r>
    </w:p>
    <w:p w14:paraId="46559F2C"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sedmiletí: </w:t>
      </w:r>
      <w:r w:rsidRPr="00D64EA2">
        <w:rPr>
          <w:rFonts w:ascii="Arial" w:eastAsia="Times New Roman" w:hAnsi="Arial" w:cs="Arial"/>
          <w:b/>
          <w:bCs/>
          <w:color w:val="000000"/>
          <w:sz w:val="21"/>
          <w:szCs w:val="21"/>
          <w:lang w:eastAsia="cs-CZ"/>
        </w:rPr>
        <w:t>2160 bodů</w:t>
      </w:r>
    </w:p>
    <w:p w14:paraId="5DC8240A"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lastRenderedPageBreak/>
        <w:t>šestiletí: </w:t>
      </w:r>
      <w:r w:rsidRPr="00D64EA2">
        <w:rPr>
          <w:rFonts w:ascii="Arial" w:eastAsia="Times New Roman" w:hAnsi="Arial" w:cs="Arial"/>
          <w:b/>
          <w:bCs/>
          <w:color w:val="000000"/>
          <w:sz w:val="21"/>
          <w:szCs w:val="21"/>
          <w:lang w:eastAsia="cs-CZ"/>
        </w:rPr>
        <w:t>2120 bodů</w:t>
      </w:r>
    </w:p>
    <w:p w14:paraId="621B714B"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pětiletí: </w:t>
      </w:r>
      <w:r w:rsidRPr="00D64EA2">
        <w:rPr>
          <w:rFonts w:ascii="Arial" w:eastAsia="Times New Roman" w:hAnsi="Arial" w:cs="Arial"/>
          <w:b/>
          <w:bCs/>
          <w:color w:val="000000"/>
          <w:sz w:val="21"/>
          <w:szCs w:val="21"/>
          <w:lang w:eastAsia="cs-CZ"/>
        </w:rPr>
        <w:t>2080 bodů</w:t>
      </w:r>
    </w:p>
    <w:p w14:paraId="51D62608"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čtyřletí: </w:t>
      </w:r>
      <w:r w:rsidRPr="00D64EA2">
        <w:rPr>
          <w:rFonts w:ascii="Arial" w:eastAsia="Times New Roman" w:hAnsi="Arial" w:cs="Arial"/>
          <w:b/>
          <w:bCs/>
          <w:color w:val="000000"/>
          <w:sz w:val="21"/>
          <w:szCs w:val="21"/>
          <w:lang w:eastAsia="cs-CZ"/>
        </w:rPr>
        <w:t>2040 bodů</w:t>
      </w:r>
    </w:p>
    <w:p w14:paraId="1F7DEE4E"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tříletí, kteří dosáhnou věku 3 let do 31. 8. 2020: </w:t>
      </w:r>
      <w:r w:rsidRPr="00D64EA2">
        <w:rPr>
          <w:rFonts w:ascii="Arial" w:eastAsia="Times New Roman" w:hAnsi="Arial" w:cs="Arial"/>
          <w:b/>
          <w:bCs/>
          <w:color w:val="000000"/>
          <w:sz w:val="21"/>
          <w:szCs w:val="21"/>
          <w:lang w:eastAsia="cs-CZ"/>
        </w:rPr>
        <w:t>2000 bodů</w:t>
      </w:r>
    </w:p>
    <w:p w14:paraId="3D2BE14E"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tříletí, kteří dosáhnou věku 3 let od 1. 9. 2020 do 31. 12. 2020: </w:t>
      </w:r>
      <w:r w:rsidRPr="00D64EA2">
        <w:rPr>
          <w:rFonts w:ascii="Arial" w:eastAsia="Times New Roman" w:hAnsi="Arial" w:cs="Arial"/>
          <w:b/>
          <w:bCs/>
          <w:color w:val="000000"/>
          <w:sz w:val="21"/>
          <w:szCs w:val="21"/>
          <w:lang w:eastAsia="cs-CZ"/>
        </w:rPr>
        <w:t>1000 bodů</w:t>
      </w:r>
    </w:p>
    <w:p w14:paraId="576F454D"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dvouletí: </w:t>
      </w:r>
      <w:r w:rsidRPr="00D64EA2">
        <w:rPr>
          <w:rFonts w:ascii="Arial" w:eastAsia="Times New Roman" w:hAnsi="Arial" w:cs="Arial"/>
          <w:b/>
          <w:bCs/>
          <w:color w:val="000000"/>
          <w:sz w:val="21"/>
          <w:szCs w:val="21"/>
          <w:lang w:eastAsia="cs-CZ"/>
        </w:rPr>
        <w:t>0 bodů</w:t>
      </w:r>
    </w:p>
    <w:p w14:paraId="62C27E40" w14:textId="77777777" w:rsidR="00D64EA2" w:rsidRPr="00D64EA2" w:rsidRDefault="00D64EA2" w:rsidP="00D64EA2">
      <w:pPr>
        <w:numPr>
          <w:ilvl w:val="0"/>
          <w:numId w:val="4"/>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jednoletí: </w:t>
      </w:r>
      <w:r w:rsidRPr="00D64EA2">
        <w:rPr>
          <w:rFonts w:ascii="Arial" w:eastAsia="Times New Roman" w:hAnsi="Arial" w:cs="Arial"/>
          <w:b/>
          <w:bCs/>
          <w:color w:val="000000"/>
          <w:sz w:val="21"/>
          <w:szCs w:val="21"/>
          <w:lang w:eastAsia="cs-CZ"/>
        </w:rPr>
        <w:t>nepřijímáni</w:t>
      </w:r>
    </w:p>
    <w:p w14:paraId="5A7250F0"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Trvalý pobyt dítěte </w:t>
      </w:r>
      <w:r w:rsidRPr="00D64EA2">
        <w:rPr>
          <w:rFonts w:ascii="Arial" w:eastAsia="Times New Roman" w:hAnsi="Arial" w:cs="Arial"/>
          <w:color w:val="000000"/>
          <w:sz w:val="27"/>
          <w:szCs w:val="27"/>
          <w:lang w:eastAsia="cs-CZ"/>
        </w:rPr>
        <w:t> </w:t>
      </w:r>
      <w:hyperlink r:id="rId7" w:anchor="krit3" w:history="1">
        <w:r w:rsidRPr="00D64EA2">
          <w:rPr>
            <w:rFonts w:ascii="Arial" w:eastAsia="Times New Roman" w:hAnsi="Arial" w:cs="Arial"/>
            <w:color w:val="C10000"/>
            <w:sz w:val="20"/>
            <w:szCs w:val="20"/>
            <w:u w:val="single"/>
            <w:vertAlign w:val="superscript"/>
            <w:lang w:eastAsia="cs-CZ"/>
          </w:rPr>
          <w:t>3)</w:t>
        </w:r>
      </w:hyperlink>
    </w:p>
    <w:p w14:paraId="6E97F268" w14:textId="77777777" w:rsidR="00D64EA2" w:rsidRPr="00D64EA2" w:rsidRDefault="00D64EA2" w:rsidP="00D64EA2">
      <w:pPr>
        <w:numPr>
          <w:ilvl w:val="0"/>
          <w:numId w:val="5"/>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trvalý pobyt na území města Brna a v příslušném školském obvodu MŠ: </w:t>
      </w:r>
      <w:r w:rsidRPr="00D64EA2">
        <w:rPr>
          <w:rFonts w:ascii="Arial" w:eastAsia="Times New Roman" w:hAnsi="Arial" w:cs="Arial"/>
          <w:b/>
          <w:bCs/>
          <w:color w:val="000000"/>
          <w:sz w:val="21"/>
          <w:szCs w:val="21"/>
          <w:lang w:eastAsia="cs-CZ"/>
        </w:rPr>
        <w:t>750 bodů</w:t>
      </w:r>
    </w:p>
    <w:p w14:paraId="563B7D36" w14:textId="77777777" w:rsidR="00D64EA2" w:rsidRPr="00D64EA2" w:rsidRDefault="00D64EA2" w:rsidP="00D64EA2">
      <w:pPr>
        <w:numPr>
          <w:ilvl w:val="0"/>
          <w:numId w:val="5"/>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trvalý pobyt na území města Brna a na území městské části města Brna, kde je umístěna MŠ: 250+250= </w:t>
      </w:r>
      <w:r w:rsidRPr="00D64EA2">
        <w:rPr>
          <w:rFonts w:ascii="Arial" w:eastAsia="Times New Roman" w:hAnsi="Arial" w:cs="Arial"/>
          <w:b/>
          <w:bCs/>
          <w:color w:val="000000"/>
          <w:sz w:val="21"/>
          <w:szCs w:val="21"/>
          <w:lang w:eastAsia="cs-CZ"/>
        </w:rPr>
        <w:t>500 bodů</w:t>
      </w:r>
    </w:p>
    <w:p w14:paraId="433F5D27" w14:textId="77777777" w:rsidR="00D64EA2" w:rsidRPr="00D64EA2" w:rsidRDefault="00D64EA2" w:rsidP="00D64EA2">
      <w:pPr>
        <w:numPr>
          <w:ilvl w:val="0"/>
          <w:numId w:val="5"/>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trvalý pobyt na území města Brna: </w:t>
      </w:r>
      <w:r w:rsidRPr="00D64EA2">
        <w:rPr>
          <w:rFonts w:ascii="Arial" w:eastAsia="Times New Roman" w:hAnsi="Arial" w:cs="Arial"/>
          <w:b/>
          <w:bCs/>
          <w:color w:val="000000"/>
          <w:sz w:val="21"/>
          <w:szCs w:val="21"/>
          <w:lang w:eastAsia="cs-CZ"/>
        </w:rPr>
        <w:t>250 bodů</w:t>
      </w:r>
    </w:p>
    <w:p w14:paraId="70E58784" w14:textId="77777777" w:rsidR="00D64EA2" w:rsidRPr="00D64EA2" w:rsidRDefault="00D64EA2" w:rsidP="00D64EA2">
      <w:pPr>
        <w:numPr>
          <w:ilvl w:val="0"/>
          <w:numId w:val="5"/>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trvalý pobyt mimo město Brno: </w:t>
      </w:r>
      <w:r w:rsidRPr="00D64EA2">
        <w:rPr>
          <w:rFonts w:ascii="Arial" w:eastAsia="Times New Roman" w:hAnsi="Arial" w:cs="Arial"/>
          <w:b/>
          <w:bCs/>
          <w:color w:val="000000"/>
          <w:sz w:val="21"/>
          <w:szCs w:val="21"/>
          <w:lang w:eastAsia="cs-CZ"/>
        </w:rPr>
        <w:t>0 bodů</w:t>
      </w:r>
    </w:p>
    <w:p w14:paraId="308CD7CD"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Docházka</w:t>
      </w:r>
    </w:p>
    <w:p w14:paraId="263FAF43" w14:textId="77777777" w:rsidR="00D64EA2" w:rsidRPr="00D64EA2" w:rsidRDefault="00D64EA2" w:rsidP="00D64EA2">
      <w:pPr>
        <w:numPr>
          <w:ilvl w:val="0"/>
          <w:numId w:val="6"/>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s celodenní délkou pobytu: </w:t>
      </w:r>
      <w:r w:rsidRPr="00D64EA2">
        <w:rPr>
          <w:rFonts w:ascii="Arial" w:eastAsia="Times New Roman" w:hAnsi="Arial" w:cs="Arial"/>
          <w:b/>
          <w:bCs/>
          <w:color w:val="000000"/>
          <w:sz w:val="21"/>
          <w:szCs w:val="21"/>
          <w:lang w:eastAsia="cs-CZ"/>
        </w:rPr>
        <w:t>20 bodů</w:t>
      </w:r>
    </w:p>
    <w:p w14:paraId="7433645E" w14:textId="77777777" w:rsidR="00D64EA2" w:rsidRPr="00D64EA2" w:rsidRDefault="00D64EA2" w:rsidP="00D64EA2">
      <w:pPr>
        <w:numPr>
          <w:ilvl w:val="0"/>
          <w:numId w:val="6"/>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s půldenní délkou pobytu: </w:t>
      </w:r>
      <w:r w:rsidRPr="00D64EA2">
        <w:rPr>
          <w:rFonts w:ascii="Arial" w:eastAsia="Times New Roman" w:hAnsi="Arial" w:cs="Arial"/>
          <w:b/>
          <w:bCs/>
          <w:color w:val="000000"/>
          <w:sz w:val="21"/>
          <w:szCs w:val="21"/>
          <w:lang w:eastAsia="cs-CZ"/>
        </w:rPr>
        <w:t>0 bodů</w:t>
      </w:r>
    </w:p>
    <w:p w14:paraId="729E71D7"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Sourozenec</w:t>
      </w:r>
      <w:r w:rsidRPr="00D64EA2">
        <w:rPr>
          <w:rFonts w:ascii="Arial" w:eastAsia="Times New Roman" w:hAnsi="Arial" w:cs="Arial"/>
          <w:color w:val="000000"/>
          <w:sz w:val="27"/>
          <w:szCs w:val="27"/>
          <w:lang w:eastAsia="cs-CZ"/>
        </w:rPr>
        <w:t> </w:t>
      </w:r>
      <w:hyperlink r:id="rId8" w:anchor="krit4" w:history="1">
        <w:r w:rsidRPr="00D64EA2">
          <w:rPr>
            <w:rFonts w:ascii="Arial" w:eastAsia="Times New Roman" w:hAnsi="Arial" w:cs="Arial"/>
            <w:color w:val="C10000"/>
            <w:sz w:val="20"/>
            <w:szCs w:val="20"/>
            <w:u w:val="single"/>
            <w:vertAlign w:val="superscript"/>
            <w:lang w:eastAsia="cs-CZ"/>
          </w:rPr>
          <w:t>4)</w:t>
        </w:r>
      </w:hyperlink>
    </w:p>
    <w:p w14:paraId="43824382" w14:textId="77777777" w:rsidR="00D64EA2" w:rsidRPr="00D64EA2" w:rsidRDefault="00D64EA2" w:rsidP="00D64EA2">
      <w:pPr>
        <w:numPr>
          <w:ilvl w:val="0"/>
          <w:numId w:val="7"/>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již navštěvuje MŠ, kam podáváte přihlášku (bude ji navštěvovat i po 1. 9. 2020): </w:t>
      </w:r>
      <w:r w:rsidRPr="00D64EA2">
        <w:rPr>
          <w:rFonts w:ascii="Arial" w:eastAsia="Times New Roman" w:hAnsi="Arial" w:cs="Arial"/>
          <w:b/>
          <w:bCs/>
          <w:color w:val="000000"/>
          <w:sz w:val="21"/>
          <w:szCs w:val="21"/>
          <w:lang w:eastAsia="cs-CZ"/>
        </w:rPr>
        <w:t>10 bodů</w:t>
      </w:r>
    </w:p>
    <w:p w14:paraId="7764BC8C" w14:textId="77777777" w:rsidR="00D64EA2" w:rsidRPr="00D64EA2" w:rsidRDefault="00D64EA2" w:rsidP="00D64EA2">
      <w:pPr>
        <w:numPr>
          <w:ilvl w:val="0"/>
          <w:numId w:val="7"/>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nenavštěvuje mateřskou školu, kam podáváte přihlášku: </w:t>
      </w:r>
      <w:r w:rsidRPr="00D64EA2">
        <w:rPr>
          <w:rFonts w:ascii="Arial" w:eastAsia="Times New Roman" w:hAnsi="Arial" w:cs="Arial"/>
          <w:b/>
          <w:bCs/>
          <w:color w:val="000000"/>
          <w:sz w:val="21"/>
          <w:szCs w:val="21"/>
          <w:lang w:eastAsia="cs-CZ"/>
        </w:rPr>
        <w:t>0 bodů</w:t>
      </w:r>
    </w:p>
    <w:p w14:paraId="6EA23D65"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Den věku dítěte v roce</w:t>
      </w:r>
    </w:p>
    <w:p w14:paraId="611A3351" w14:textId="77777777" w:rsidR="00D64EA2" w:rsidRPr="00D64EA2" w:rsidRDefault="00D64EA2" w:rsidP="00D64EA2">
      <w:pPr>
        <w:numPr>
          <w:ilvl w:val="0"/>
          <w:numId w:val="8"/>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za každý den k 31. 8. 2020: </w:t>
      </w:r>
      <w:r w:rsidRPr="00D64EA2">
        <w:rPr>
          <w:rFonts w:ascii="Arial" w:eastAsia="Times New Roman" w:hAnsi="Arial" w:cs="Arial"/>
          <w:b/>
          <w:bCs/>
          <w:color w:val="000000"/>
          <w:sz w:val="21"/>
          <w:szCs w:val="21"/>
          <w:lang w:eastAsia="cs-CZ"/>
        </w:rPr>
        <w:t>0.02 bodu</w:t>
      </w:r>
    </w:p>
    <w:p w14:paraId="452F8C5B" w14:textId="77777777" w:rsidR="00D64EA2" w:rsidRPr="00D64EA2" w:rsidRDefault="00D64EA2" w:rsidP="00D64EA2">
      <w:pPr>
        <w:shd w:val="clear" w:color="auto" w:fill="EDE6D4"/>
        <w:spacing w:after="150" w:line="240" w:lineRule="auto"/>
        <w:rPr>
          <w:rFonts w:ascii="Arial" w:eastAsia="Times New Roman" w:hAnsi="Arial" w:cs="Arial"/>
          <w:color w:val="000000"/>
          <w:sz w:val="21"/>
          <w:szCs w:val="21"/>
          <w:lang w:eastAsia="cs-CZ"/>
        </w:rPr>
      </w:pPr>
      <w:bookmarkStart w:id="1" w:name="krit2"/>
      <w:bookmarkStart w:id="2" w:name="krit3"/>
      <w:bookmarkStart w:id="3" w:name="krit4"/>
      <w:bookmarkEnd w:id="1"/>
      <w:bookmarkEnd w:id="2"/>
      <w:bookmarkEnd w:id="3"/>
      <w:r w:rsidRPr="00D64EA2">
        <w:rPr>
          <w:rFonts w:ascii="Arial" w:eastAsia="Times New Roman" w:hAnsi="Arial" w:cs="Arial"/>
          <w:color w:val="000000"/>
          <w:sz w:val="21"/>
          <w:szCs w:val="21"/>
          <w:lang w:eastAsia="cs-CZ"/>
        </w:rPr>
        <w:t> </w:t>
      </w:r>
    </w:p>
    <w:p w14:paraId="4C286868" w14:textId="77777777" w:rsidR="00D64EA2" w:rsidRPr="00D64EA2" w:rsidRDefault="00D64EA2" w:rsidP="00D64EA2">
      <w:pPr>
        <w:pBdr>
          <w:top w:val="single" w:sz="6" w:space="8" w:color="AAAAAA"/>
          <w:left w:val="single" w:sz="6" w:space="8" w:color="AAAAAA"/>
          <w:bottom w:val="single" w:sz="6" w:space="8" w:color="AAAAAA"/>
          <w:right w:val="single" w:sz="6" w:space="8" w:color="AAAAAA"/>
        </w:pBdr>
        <w:shd w:val="clear" w:color="auto" w:fill="F7F7F7"/>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16"/>
          <w:szCs w:val="16"/>
          <w:vertAlign w:val="superscript"/>
          <w:lang w:eastAsia="cs-CZ"/>
        </w:rPr>
        <w:t>2)</w:t>
      </w:r>
      <w:r w:rsidRPr="00D64EA2">
        <w:rPr>
          <w:rFonts w:ascii="Arial" w:eastAsia="Times New Roman" w:hAnsi="Arial" w:cs="Arial"/>
          <w:color w:val="000000"/>
          <w:sz w:val="21"/>
          <w:szCs w:val="21"/>
          <w:lang w:eastAsia="cs-CZ"/>
        </w:rPr>
        <w:t> Poznámky ke Kritériím pro přijímání ostatních dětí: Věk dítěte je počítán k 31. 8. 2020, pokud není uvedeno jinak. V případě cizinců se místem trvalého pobytu rozumí místo pobytu. Trvalý pobyt dítěte se vždy posuzuje ke dni vydání rozhodnutí. </w:t>
      </w:r>
    </w:p>
    <w:p w14:paraId="453A4675" w14:textId="77777777" w:rsidR="00D64EA2" w:rsidRPr="00D64EA2" w:rsidRDefault="00D64EA2" w:rsidP="00D64EA2">
      <w:pPr>
        <w:pBdr>
          <w:top w:val="single" w:sz="6" w:space="8" w:color="AAAAAA"/>
          <w:left w:val="single" w:sz="6" w:space="8" w:color="AAAAAA"/>
          <w:bottom w:val="single" w:sz="6" w:space="8" w:color="AAAAAA"/>
          <w:right w:val="single" w:sz="6" w:space="8" w:color="AAAAAA"/>
        </w:pBdr>
        <w:shd w:val="clear" w:color="auto" w:fill="F7F7F7"/>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16"/>
          <w:szCs w:val="16"/>
          <w:vertAlign w:val="superscript"/>
          <w:lang w:eastAsia="cs-CZ"/>
        </w:rPr>
        <w:t>3)</w:t>
      </w:r>
      <w:r w:rsidRPr="00D64EA2">
        <w:rPr>
          <w:rFonts w:ascii="Arial" w:eastAsia="Times New Roman" w:hAnsi="Arial" w:cs="Arial"/>
          <w:color w:val="000000"/>
          <w:sz w:val="21"/>
          <w:szCs w:val="21"/>
          <w:lang w:eastAsia="cs-CZ"/>
        </w:rPr>
        <w:t> Body jsou započteny pouze za trvalý pobyt </w:t>
      </w:r>
      <w:r w:rsidRPr="00D64EA2">
        <w:rPr>
          <w:rFonts w:ascii="Arial" w:eastAsia="Times New Roman" w:hAnsi="Arial" w:cs="Arial"/>
          <w:b/>
          <w:bCs/>
          <w:color w:val="000000"/>
          <w:sz w:val="21"/>
          <w:szCs w:val="21"/>
          <w:lang w:eastAsia="cs-CZ"/>
        </w:rPr>
        <w:t>dítěte</w:t>
      </w:r>
      <w:r w:rsidRPr="00D64EA2">
        <w:rPr>
          <w:rFonts w:ascii="Arial" w:eastAsia="Times New Roman" w:hAnsi="Arial" w:cs="Arial"/>
          <w:color w:val="000000"/>
          <w:sz w:val="21"/>
          <w:szCs w:val="21"/>
          <w:lang w:eastAsia="cs-CZ"/>
        </w:rPr>
        <w:t> a rovněž pouze za jednu z posuzovaných alternativ pobytu, tzn. body se nesčítají. </w:t>
      </w:r>
    </w:p>
    <w:p w14:paraId="67ADC6D3" w14:textId="77777777" w:rsidR="00D64EA2" w:rsidRPr="00D64EA2" w:rsidRDefault="00D64EA2" w:rsidP="00D64EA2">
      <w:pPr>
        <w:pBdr>
          <w:top w:val="single" w:sz="6" w:space="8" w:color="AAAAAA"/>
          <w:left w:val="single" w:sz="6" w:space="8" w:color="AAAAAA"/>
          <w:bottom w:val="single" w:sz="6" w:space="8" w:color="AAAAAA"/>
          <w:right w:val="single" w:sz="6" w:space="8" w:color="AAAAAA"/>
        </w:pBdr>
        <w:shd w:val="clear" w:color="auto" w:fill="F7F7F7"/>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 </w:t>
      </w:r>
      <w:r w:rsidRPr="00D64EA2">
        <w:rPr>
          <w:rFonts w:ascii="Arial" w:eastAsia="Times New Roman" w:hAnsi="Arial" w:cs="Arial"/>
          <w:color w:val="000000"/>
          <w:sz w:val="16"/>
          <w:szCs w:val="16"/>
          <w:vertAlign w:val="superscript"/>
          <w:lang w:eastAsia="cs-CZ"/>
        </w:rPr>
        <w:t>4)</w:t>
      </w:r>
      <w:r w:rsidRPr="00D64EA2">
        <w:rPr>
          <w:rFonts w:ascii="Arial" w:eastAsia="Times New Roman" w:hAnsi="Arial" w:cs="Arial"/>
          <w:color w:val="000000"/>
          <w:sz w:val="21"/>
          <w:szCs w:val="21"/>
          <w:lang w:eastAsia="cs-CZ"/>
        </w:rPr>
        <w:t> Kritérium sourozence se uplatní pouze pro děti, které dosáhnou minimálně věku 3 let do 31. 8. 2020.</w:t>
      </w:r>
    </w:p>
    <w:p w14:paraId="10B18211" w14:textId="77777777" w:rsidR="00D64EA2" w:rsidRPr="00D64EA2" w:rsidRDefault="00D64EA2" w:rsidP="00D64EA2">
      <w:pPr>
        <w:shd w:val="clear" w:color="auto" w:fill="EDE6D4"/>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 </w:t>
      </w:r>
    </w:p>
    <w:p w14:paraId="04D791DB" w14:textId="77777777" w:rsidR="00D64EA2" w:rsidRPr="00D64EA2" w:rsidRDefault="00D64EA2" w:rsidP="00D64EA2">
      <w:pPr>
        <w:pBdr>
          <w:bottom w:val="dashed" w:sz="6" w:space="8" w:color="AAAAAA"/>
        </w:pBdr>
        <w:shd w:val="clear" w:color="auto" w:fill="EDE6D4"/>
        <w:spacing w:after="225" w:line="240" w:lineRule="auto"/>
        <w:outlineLvl w:val="2"/>
        <w:rPr>
          <w:rFonts w:ascii="Arial" w:eastAsia="Times New Roman" w:hAnsi="Arial" w:cs="Arial"/>
          <w:color w:val="000000"/>
          <w:sz w:val="36"/>
          <w:szCs w:val="36"/>
          <w:lang w:eastAsia="cs-CZ"/>
        </w:rPr>
      </w:pPr>
      <w:r w:rsidRPr="00D64EA2">
        <w:rPr>
          <w:rFonts w:ascii="Arial" w:eastAsia="Times New Roman" w:hAnsi="Arial" w:cs="Arial"/>
          <w:color w:val="000000"/>
          <w:sz w:val="36"/>
          <w:szCs w:val="36"/>
          <w:lang w:eastAsia="cs-CZ"/>
        </w:rPr>
        <w:t>Vysvětlivky k pořadí přijímání dětí do MŠ ve městě Brně</w:t>
      </w:r>
    </w:p>
    <w:p w14:paraId="5D034391"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 ke kritériím I.:</w:t>
      </w:r>
    </w:p>
    <w:p w14:paraId="6143F6AD" w14:textId="77777777" w:rsidR="00D64EA2" w:rsidRPr="00D64EA2" w:rsidRDefault="00D64EA2" w:rsidP="00D64EA2">
      <w:pPr>
        <w:shd w:val="clear" w:color="auto" w:fill="EDE6D4"/>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lastRenderedPageBreak/>
        <w:t>Dětem s místem trvalého pobytu v příslušném školském obvodu MŠ, které před 31. 8. 2020 dosáhnou nejméně třetího roku věku budou body přiděleny tak, aby tyto spádové děti měly při přijímání vždy absolutní přednost před všemi ostatními dětmi. Následně budou těmto spádovým dětem přidělovány body tak, aby spádové děti od 5 let věku (s povinností předškolního vzdělávání) měly vždy přednost před spádovými čtyřletými a tříletými. Ze tříletých spádových dětí pak budou upřednostněny ty s celodenní docházkou do MŠ (o volbě docházky rozhoduje zákonný zástupce). V případě nedostatečné kapacity mateřské školy pro přijetí spádových dětí se shodným počtem bodů, se pořadí těchto dětí určí losováním (obdobný postup jako při nedostatečné kapacitě základní školy pro přijetí spádových dětí). Losování proběhne za účasti vedení školy a zástupce zřizovatele.</w:t>
      </w:r>
    </w:p>
    <w:p w14:paraId="075B455C" w14:textId="77777777" w:rsidR="00D64EA2" w:rsidRPr="00D64EA2" w:rsidRDefault="00D64EA2" w:rsidP="00D64EA2">
      <w:pPr>
        <w:shd w:val="clear" w:color="auto" w:fill="EDE6D4"/>
        <w:spacing w:after="225" w:line="240" w:lineRule="auto"/>
        <w:outlineLvl w:val="3"/>
        <w:rPr>
          <w:rFonts w:ascii="Arial" w:eastAsia="Times New Roman" w:hAnsi="Arial" w:cs="Arial"/>
          <w:color w:val="000000"/>
          <w:sz w:val="27"/>
          <w:szCs w:val="27"/>
          <w:lang w:eastAsia="cs-CZ"/>
        </w:rPr>
      </w:pPr>
      <w:r w:rsidRPr="00D64EA2">
        <w:rPr>
          <w:rFonts w:ascii="Arial" w:eastAsia="Times New Roman" w:hAnsi="Arial" w:cs="Arial"/>
          <w:color w:val="000000"/>
          <w:sz w:val="27"/>
          <w:szCs w:val="27"/>
          <w:u w:val="single"/>
          <w:lang w:eastAsia="cs-CZ"/>
        </w:rPr>
        <w:t>- ke kritériím II.:</w:t>
      </w:r>
    </w:p>
    <w:p w14:paraId="53808D39" w14:textId="77777777" w:rsidR="00D64EA2" w:rsidRPr="00D64EA2" w:rsidRDefault="00D64EA2" w:rsidP="00D64EA2">
      <w:pPr>
        <w:shd w:val="clear" w:color="auto" w:fill="EDE6D4"/>
        <w:spacing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Ostatní děti jsou přijímány v níže uvedeném pořadí s tím, že starší věková skupina má přednost.</w:t>
      </w:r>
    </w:p>
    <w:p w14:paraId="05B6A365"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Věkové skupiny sedmiletých až tříletých (do 31. 8. 2020) s místem trvalého pobytu na území městské části města Brna, kde je umístěna MŠ.</w:t>
      </w:r>
    </w:p>
    <w:p w14:paraId="4AA70B72"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Věkové skupiny sedmiletých až tříletých (do 31. 8. 2020) s místem trvalého pobytu na území města Brna.</w:t>
      </w:r>
    </w:p>
    <w:p w14:paraId="056EDF45"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Věkové skupiny sedmiletých až tříletých (do 31. 8. 2020) s místem trvalého pobytu mimo město Brno.</w:t>
      </w:r>
    </w:p>
    <w:p w14:paraId="09781F27"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Věková skupina tříletých (od 1. 9. 2020 do 31. 12. 2020) s místem trvalého pobytu v příslušném školském obvodu MŠ.</w:t>
      </w:r>
    </w:p>
    <w:p w14:paraId="604FE0C6"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Věková skupina tříletých (od 1. 9. 2020 do 31. 12. 2020) s místem trvalého pobytu na území městské části města Brna, kde je umístěna MŠ.</w:t>
      </w:r>
    </w:p>
    <w:p w14:paraId="736F0250"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Věková skupina tříletých (od 1. 9. 2020 do 31. 12. 2020) s místem trvalého pobytu na území města Brna.</w:t>
      </w:r>
    </w:p>
    <w:p w14:paraId="04B8B6F8" w14:textId="77777777" w:rsidR="00D64EA2" w:rsidRPr="00D64EA2" w:rsidRDefault="00D64EA2" w:rsidP="00D64EA2">
      <w:pPr>
        <w:numPr>
          <w:ilvl w:val="0"/>
          <w:numId w:val="9"/>
        </w:numPr>
        <w:shd w:val="clear" w:color="auto" w:fill="EDE6D4"/>
        <w:spacing w:before="100" w:beforeAutospacing="1" w:after="150"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Věková skupina tříletých (od 1. 9. 2020 do 31. 12. 2020) s místem trvalého pobytu mimo město Brno.</w:t>
      </w:r>
    </w:p>
    <w:p w14:paraId="3D4FFDF8" w14:textId="77777777" w:rsidR="00D64EA2" w:rsidRPr="00D64EA2" w:rsidRDefault="00D64EA2" w:rsidP="00D64EA2">
      <w:pPr>
        <w:shd w:val="clear" w:color="auto" w:fill="EDE6D4"/>
        <w:spacing w:line="240" w:lineRule="auto"/>
        <w:rPr>
          <w:rFonts w:ascii="Arial" w:eastAsia="Times New Roman" w:hAnsi="Arial" w:cs="Arial"/>
          <w:color w:val="000000"/>
          <w:sz w:val="21"/>
          <w:szCs w:val="21"/>
          <w:lang w:eastAsia="cs-CZ"/>
        </w:rPr>
      </w:pPr>
      <w:r w:rsidRPr="00D64EA2">
        <w:rPr>
          <w:rFonts w:ascii="Arial" w:eastAsia="Times New Roman" w:hAnsi="Arial" w:cs="Arial"/>
          <w:color w:val="000000"/>
          <w:sz w:val="21"/>
          <w:szCs w:val="21"/>
          <w:lang w:eastAsia="cs-CZ"/>
        </w:rPr>
        <w:t>Následně budou v tomto pořadí přijímáni dvouletí. Vzhledem k tomu, že podle § 34 odst. 1 školského zákona se předškolní vzdělávání organizuje pro děti ve věku zpravidla od 3 do 6 let, nejdříve však pro děti od 2 let, není možné jednoleté dětí přijímat. Z tohoto důvodu budou v aplikaci Zápis do MŠ jednoleté děti pouze abecedně seřazeni na konci seznamu přijímaných dětí. Pořadí dětí v rámci věkové skupiny se stejným počtem bodů za trvalý pobyt pak ještě ovlivňuje kritérium délky docházky, sourozence a dne věku dítěte v roce, a to v uvedeném pořadí.</w:t>
      </w:r>
    </w:p>
    <w:p w14:paraId="734D1BB5" w14:textId="77777777" w:rsidR="00C83573" w:rsidRDefault="00C83573"/>
    <w:sectPr w:rsidR="00C83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E73A2"/>
    <w:multiLevelType w:val="multilevel"/>
    <w:tmpl w:val="B4D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E35C0"/>
    <w:multiLevelType w:val="multilevel"/>
    <w:tmpl w:val="A75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3B78"/>
    <w:multiLevelType w:val="multilevel"/>
    <w:tmpl w:val="4AD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B7454"/>
    <w:multiLevelType w:val="multilevel"/>
    <w:tmpl w:val="1EE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001CA"/>
    <w:multiLevelType w:val="multilevel"/>
    <w:tmpl w:val="BBBC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67350"/>
    <w:multiLevelType w:val="multilevel"/>
    <w:tmpl w:val="156A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83AD7"/>
    <w:multiLevelType w:val="multilevel"/>
    <w:tmpl w:val="107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62A9F"/>
    <w:multiLevelType w:val="multilevel"/>
    <w:tmpl w:val="883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43F96"/>
    <w:multiLevelType w:val="multilevel"/>
    <w:tmpl w:val="40F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A2"/>
    <w:rsid w:val="00C83573"/>
    <w:rsid w:val="00D64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9B56"/>
  <w15:chartTrackingRefBased/>
  <w15:docId w15:val="{EE483218-474D-4213-9495-39D1D2F9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D64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64EA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64EA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64EA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4EA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64EA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64EA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64EA2"/>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D64EA2"/>
    <w:rPr>
      <w:color w:val="0000FF"/>
      <w:u w:val="single"/>
    </w:rPr>
  </w:style>
  <w:style w:type="character" w:styleId="Siln">
    <w:name w:val="Strong"/>
    <w:basedOn w:val="Standardnpsmoodstavce"/>
    <w:uiPriority w:val="22"/>
    <w:qFormat/>
    <w:rsid w:val="00D64EA2"/>
    <w:rPr>
      <w:b/>
      <w:bCs/>
    </w:rPr>
  </w:style>
  <w:style w:type="paragraph" w:styleId="Normlnweb">
    <w:name w:val="Normal (Web)"/>
    <w:basedOn w:val="Normln"/>
    <w:uiPriority w:val="99"/>
    <w:semiHidden/>
    <w:unhideWhenUsed/>
    <w:rsid w:val="00D64EA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650816">
      <w:bodyDiv w:val="1"/>
      <w:marLeft w:val="0"/>
      <w:marRight w:val="0"/>
      <w:marTop w:val="0"/>
      <w:marBottom w:val="0"/>
      <w:divBdr>
        <w:top w:val="none" w:sz="0" w:space="0" w:color="auto"/>
        <w:left w:val="none" w:sz="0" w:space="0" w:color="auto"/>
        <w:bottom w:val="none" w:sz="0" w:space="0" w:color="auto"/>
        <w:right w:val="none" w:sz="0" w:space="0" w:color="auto"/>
      </w:divBdr>
      <w:divsChild>
        <w:div w:id="373509140">
          <w:marLeft w:val="0"/>
          <w:marRight w:val="0"/>
          <w:marTop w:val="0"/>
          <w:marBottom w:val="0"/>
          <w:divBdr>
            <w:top w:val="none" w:sz="0" w:space="0" w:color="auto"/>
            <w:left w:val="none" w:sz="0" w:space="0" w:color="auto"/>
            <w:bottom w:val="none" w:sz="0" w:space="0" w:color="auto"/>
            <w:right w:val="none" w:sz="0" w:space="0" w:color="auto"/>
          </w:divBdr>
        </w:div>
        <w:div w:id="1494567894">
          <w:marLeft w:val="0"/>
          <w:marRight w:val="0"/>
          <w:marTop w:val="0"/>
          <w:marBottom w:val="0"/>
          <w:divBdr>
            <w:top w:val="none" w:sz="0" w:space="0" w:color="auto"/>
            <w:left w:val="none" w:sz="0" w:space="0" w:color="auto"/>
            <w:bottom w:val="none" w:sz="0" w:space="0" w:color="auto"/>
            <w:right w:val="none" w:sz="0" w:space="0" w:color="auto"/>
          </w:divBdr>
          <w:divsChild>
            <w:div w:id="851527507">
              <w:marLeft w:val="0"/>
              <w:marRight w:val="0"/>
              <w:marTop w:val="0"/>
              <w:marBottom w:val="0"/>
              <w:divBdr>
                <w:top w:val="none" w:sz="0" w:space="0" w:color="auto"/>
                <w:left w:val="none" w:sz="0" w:space="0" w:color="auto"/>
                <w:bottom w:val="none" w:sz="0" w:space="0" w:color="auto"/>
                <w:right w:val="none" w:sz="0" w:space="0" w:color="auto"/>
              </w:divBdr>
              <w:divsChild>
                <w:div w:id="441341065">
                  <w:marLeft w:val="0"/>
                  <w:marRight w:val="0"/>
                  <w:marTop w:val="0"/>
                  <w:marBottom w:val="0"/>
                  <w:divBdr>
                    <w:top w:val="none" w:sz="0" w:space="0" w:color="auto"/>
                    <w:left w:val="none" w:sz="0" w:space="0" w:color="auto"/>
                    <w:bottom w:val="none" w:sz="0" w:space="0" w:color="auto"/>
                    <w:right w:val="none" w:sz="0" w:space="0" w:color="auto"/>
                  </w:divBdr>
                  <w:divsChild>
                    <w:div w:id="1659453038">
                      <w:marLeft w:val="0"/>
                      <w:marRight w:val="0"/>
                      <w:marTop w:val="0"/>
                      <w:marBottom w:val="0"/>
                      <w:divBdr>
                        <w:top w:val="none" w:sz="0" w:space="0" w:color="auto"/>
                        <w:left w:val="none" w:sz="0" w:space="0" w:color="auto"/>
                        <w:bottom w:val="none" w:sz="0" w:space="0" w:color="auto"/>
                        <w:right w:val="none" w:sz="0" w:space="0" w:color="auto"/>
                      </w:divBdr>
                      <w:divsChild>
                        <w:div w:id="614941103">
                          <w:marLeft w:val="0"/>
                          <w:marRight w:val="0"/>
                          <w:marTop w:val="0"/>
                          <w:marBottom w:val="0"/>
                          <w:divBdr>
                            <w:top w:val="none" w:sz="0" w:space="0" w:color="auto"/>
                            <w:left w:val="none" w:sz="0" w:space="0" w:color="auto"/>
                            <w:bottom w:val="none" w:sz="0" w:space="0" w:color="auto"/>
                            <w:right w:val="none" w:sz="0" w:space="0" w:color="auto"/>
                          </w:divBdr>
                          <w:divsChild>
                            <w:div w:id="1689715720">
                              <w:marLeft w:val="0"/>
                              <w:marRight w:val="0"/>
                              <w:marTop w:val="0"/>
                              <w:marBottom w:val="0"/>
                              <w:divBdr>
                                <w:top w:val="none" w:sz="0" w:space="0" w:color="auto"/>
                                <w:left w:val="none" w:sz="0" w:space="0" w:color="auto"/>
                                <w:bottom w:val="none" w:sz="0" w:space="0" w:color="auto"/>
                                <w:right w:val="none" w:sz="0" w:space="0" w:color="auto"/>
                              </w:divBdr>
                              <w:divsChild>
                                <w:div w:id="1360817893">
                                  <w:marLeft w:val="0"/>
                                  <w:marRight w:val="0"/>
                                  <w:marTop w:val="0"/>
                                  <w:marBottom w:val="0"/>
                                  <w:divBdr>
                                    <w:top w:val="none" w:sz="0" w:space="0" w:color="auto"/>
                                    <w:left w:val="none" w:sz="0" w:space="0" w:color="auto"/>
                                    <w:bottom w:val="none" w:sz="0" w:space="0" w:color="auto"/>
                                    <w:right w:val="none" w:sz="0" w:space="0" w:color="auto"/>
                                  </w:divBdr>
                                  <w:divsChild>
                                    <w:div w:id="1253973266">
                                      <w:marLeft w:val="0"/>
                                      <w:marRight w:val="0"/>
                                      <w:marTop w:val="0"/>
                                      <w:marBottom w:val="0"/>
                                      <w:divBdr>
                                        <w:top w:val="none" w:sz="0" w:space="0" w:color="auto"/>
                                        <w:left w:val="none" w:sz="0" w:space="0" w:color="auto"/>
                                        <w:bottom w:val="none" w:sz="0" w:space="0" w:color="auto"/>
                                        <w:right w:val="none" w:sz="0" w:space="0" w:color="auto"/>
                                      </w:divBdr>
                                      <w:divsChild>
                                        <w:div w:id="1811828346">
                                          <w:marLeft w:val="0"/>
                                          <w:marRight w:val="0"/>
                                          <w:marTop w:val="0"/>
                                          <w:marBottom w:val="0"/>
                                          <w:divBdr>
                                            <w:top w:val="none" w:sz="0" w:space="0" w:color="auto"/>
                                            <w:left w:val="none" w:sz="0" w:space="0" w:color="auto"/>
                                            <w:bottom w:val="none" w:sz="0" w:space="0" w:color="auto"/>
                                            <w:right w:val="none" w:sz="0" w:space="0" w:color="auto"/>
                                          </w:divBdr>
                                          <w:divsChild>
                                            <w:div w:id="2097284119">
                                              <w:marLeft w:val="0"/>
                                              <w:marRight w:val="0"/>
                                              <w:marTop w:val="0"/>
                                              <w:marBottom w:val="900"/>
                                              <w:divBdr>
                                                <w:top w:val="none" w:sz="0" w:space="0" w:color="auto"/>
                                                <w:left w:val="none" w:sz="0" w:space="0" w:color="auto"/>
                                                <w:bottom w:val="none" w:sz="0" w:space="0" w:color="auto"/>
                                                <w:right w:val="none" w:sz="0" w:space="0" w:color="auto"/>
                                              </w:divBdr>
                                              <w:divsChild>
                                                <w:div w:id="958998661">
                                                  <w:marLeft w:val="0"/>
                                                  <w:marRight w:val="0"/>
                                                  <w:marTop w:val="0"/>
                                                  <w:marBottom w:val="0"/>
                                                  <w:divBdr>
                                                    <w:top w:val="none" w:sz="0" w:space="0" w:color="auto"/>
                                                    <w:left w:val="none" w:sz="0" w:space="0" w:color="auto"/>
                                                    <w:bottom w:val="none" w:sz="0" w:space="0" w:color="auto"/>
                                                    <w:right w:val="none" w:sz="0" w:space="0" w:color="auto"/>
                                                  </w:divBdr>
                                                  <w:divsChild>
                                                    <w:div w:id="1255431549">
                                                      <w:marLeft w:val="0"/>
                                                      <w:marRight w:val="0"/>
                                                      <w:marTop w:val="0"/>
                                                      <w:marBottom w:val="0"/>
                                                      <w:divBdr>
                                                        <w:top w:val="none" w:sz="0" w:space="0" w:color="auto"/>
                                                        <w:left w:val="none" w:sz="0" w:space="0" w:color="auto"/>
                                                        <w:bottom w:val="none" w:sz="0" w:space="0" w:color="auto"/>
                                                        <w:right w:val="none" w:sz="0" w:space="0" w:color="auto"/>
                                                      </w:divBdr>
                                                      <w:divsChild>
                                                        <w:div w:id="215629505">
                                                          <w:marLeft w:val="0"/>
                                                          <w:marRight w:val="0"/>
                                                          <w:marTop w:val="0"/>
                                                          <w:marBottom w:val="0"/>
                                                          <w:divBdr>
                                                            <w:top w:val="none" w:sz="0" w:space="0" w:color="auto"/>
                                                            <w:left w:val="none" w:sz="0" w:space="0" w:color="auto"/>
                                                            <w:bottom w:val="none" w:sz="0" w:space="0" w:color="auto"/>
                                                            <w:right w:val="none" w:sz="0" w:space="0" w:color="auto"/>
                                                          </w:divBdr>
                                                          <w:divsChild>
                                                            <w:div w:id="1159229231">
                                                              <w:marLeft w:val="0"/>
                                                              <w:marRight w:val="0"/>
                                                              <w:marTop w:val="0"/>
                                                              <w:marBottom w:val="0"/>
                                                              <w:divBdr>
                                                                <w:top w:val="none" w:sz="0" w:space="0" w:color="auto"/>
                                                                <w:left w:val="none" w:sz="0" w:space="0" w:color="auto"/>
                                                                <w:bottom w:val="none" w:sz="0" w:space="0" w:color="auto"/>
                                                                <w:right w:val="none" w:sz="0" w:space="0" w:color="auto"/>
                                                              </w:divBdr>
                                                            </w:div>
                                                          </w:divsChild>
                                                        </w:div>
                                                        <w:div w:id="1983075749">
                                                          <w:marLeft w:val="0"/>
                                                          <w:marRight w:val="0"/>
                                                          <w:marTop w:val="0"/>
                                                          <w:marBottom w:val="0"/>
                                                          <w:divBdr>
                                                            <w:top w:val="none" w:sz="0" w:space="0" w:color="auto"/>
                                                            <w:left w:val="none" w:sz="0" w:space="0" w:color="auto"/>
                                                            <w:bottom w:val="none" w:sz="0" w:space="0" w:color="auto"/>
                                                            <w:right w:val="none" w:sz="0" w:space="0" w:color="auto"/>
                                                          </w:divBdr>
                                                          <w:divsChild>
                                                            <w:div w:id="355739957">
                                                              <w:marLeft w:val="0"/>
                                                              <w:marRight w:val="0"/>
                                                              <w:marTop w:val="0"/>
                                                              <w:marBottom w:val="0"/>
                                                              <w:divBdr>
                                                                <w:top w:val="none" w:sz="0" w:space="0" w:color="auto"/>
                                                                <w:left w:val="none" w:sz="0" w:space="0" w:color="auto"/>
                                                                <w:bottom w:val="none" w:sz="0" w:space="0" w:color="auto"/>
                                                                <w:right w:val="none" w:sz="0" w:space="0" w:color="auto"/>
                                                              </w:divBdr>
                                                              <w:divsChild>
                                                                <w:div w:id="957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isdoms.brno.cz/kriteria-rizeni" TargetMode="External"/><Relationship Id="rId3" Type="http://schemas.openxmlformats.org/officeDocument/2006/relationships/settings" Target="settings.xml"/><Relationship Id="rId7" Type="http://schemas.openxmlformats.org/officeDocument/2006/relationships/hyperlink" Target="https://zapisdoms.brno.cz/kriteria-riz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pisdoms.brno.cz/kriteria-rizeni" TargetMode="External"/><Relationship Id="rId5" Type="http://schemas.openxmlformats.org/officeDocument/2006/relationships/hyperlink" Target="https://zapisdoms.brno.cz/kriteria-rize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4439</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Ředitelka</cp:lastModifiedBy>
  <cp:revision>1</cp:revision>
  <dcterms:created xsi:type="dcterms:W3CDTF">2021-01-07T09:46:00Z</dcterms:created>
  <dcterms:modified xsi:type="dcterms:W3CDTF">2021-01-07T09:47:00Z</dcterms:modified>
</cp:coreProperties>
</file>