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Cover Pages"/>
          <w:docPartUnique w:val="true"/>
        </w:docPartObj>
        <w:id w:val="-469746354"/>
      </w:sdtPr>
      <w:sdtContent>
        <w:p>
          <w:pPr>
            <w:pStyle w:val="NoSpacing"/>
            <w:tabs>
              <w:tab w:val="clear" w:pos="708"/>
              <w:tab w:val="left" w:pos="8505" w:leader="none"/>
            </w:tabs>
            <w:spacing w:before="1200" w:after="240"/>
            <w:ind w:left="1134"/>
            <w:jc w:val="center"/>
            <w:rPr>
              <w:color w:themeColor="accent1" w:val="5B9BD5"/>
            </w:rPr>
          </w:pPr>
          <w:r>
            <w:rPr>
              <w:b/>
              <w:color w:val="0073CF"/>
              <w:sz w:val="68"/>
              <w:szCs w:val="68"/>
            </w:rPr>
            <mc:AlternateContent>
              <mc:Choice Requires="wps">
                <w:drawing>
                  <wp:anchor behindDoc="0" distT="0" distB="0" distL="114300" distR="114300" simplePos="0" locked="0" layoutInCell="1" allowOverlap="1" relativeHeight="3">
                    <wp:simplePos x="0" y="0"/>
                    <wp:positionH relativeFrom="column">
                      <wp:posOffset>829945</wp:posOffset>
                    </wp:positionH>
                    <wp:positionV relativeFrom="paragraph">
                      <wp:posOffset>2076450</wp:posOffset>
                    </wp:positionV>
                    <wp:extent cx="4899025" cy="0"/>
                    <wp:effectExtent l="0" t="9525" r="0" b="9525"/>
                    <wp:wrapNone/>
                    <wp:docPr id="1" name="Přímá spojnice 1"/>
                    <a:graphic xmlns:a="http://schemas.openxmlformats.org/drawingml/2006/main">
                      <a:graphicData uri="http://schemas.microsoft.com/office/word/2010/wordprocessingShape">
                        <wps:wsp>
                          <wps:cNvSpPr/>
                          <wps:spPr>
                            <a:xfrm>
                              <a:off x="0" y="0"/>
                              <a:ext cx="4898880" cy="0"/>
                            </a:xfrm>
                            <a:prstGeom prst="line">
                              <a:avLst/>
                            </a:prstGeom>
                            <a:ln w="19080">
                              <a:solidFill>
                                <a:srgbClr val="0073cf"/>
                              </a:solidFill>
                              <a:miter/>
                            </a:ln>
                          </wps:spPr>
                          <wps:style>
                            <a:lnRef idx="0"/>
                            <a:fillRef idx="0"/>
                            <a:effectRef idx="0"/>
                            <a:fontRef idx="minor"/>
                          </wps:style>
                          <wps:bodyPr/>
                        </wps:wsp>
                      </a:graphicData>
                    </a:graphic>
                  </wp:anchor>
                </w:drawing>
              </mc:Choice>
              <mc:Fallback>
                <w:pict>
                  <v:line id="shape_0" from="65.35pt,163.5pt" to="451.05pt,163.5pt" ID="Přímá spojnice 1" stroked="t" o:allowincell="f" style="position:absolute">
                    <v:stroke color="#0073cf" weight="19080" joinstyle="miter" endcap="flat"/>
                    <v:fill o:detectmouseclick="t" on="false"/>
                    <w10:wrap type="none"/>
                  </v:line>
                </w:pict>
              </mc:Fallback>
            </mc:AlternateContent>
            <w:t xml:space="preserve">ŠKOLNÍ VZDĚLÁVACÍ </w:t>
            <w:br/>
            <w:t>PROGRAM</w:t>
          </w:r>
          <w:r>
            <w:rPr>
              <w:color w:themeColor="accent1" w:val="5B9BD5"/>
            </w:rPr>
            <mc:AlternateContent>
              <mc:Choice Requires="wps">
                <w:drawing>
                  <wp:anchor behindDoc="0" distT="0" distB="0" distL="114300" distR="114300" simplePos="0" locked="0" layoutInCell="1" allowOverlap="1" relativeHeight="2">
                    <wp:simplePos x="0" y="0"/>
                    <wp:positionH relativeFrom="column">
                      <wp:posOffset>-1143000</wp:posOffset>
                    </wp:positionH>
                    <wp:positionV relativeFrom="paragraph">
                      <wp:posOffset>-909320</wp:posOffset>
                    </wp:positionV>
                    <wp:extent cx="1569720" cy="10672445"/>
                    <wp:effectExtent l="6350" t="6350" r="6350" b="6350"/>
                    <wp:wrapNone/>
                    <wp:docPr id="2" name="Obdélník 2"/>
                    <a:graphic xmlns:a="http://schemas.openxmlformats.org/drawingml/2006/main">
                      <a:graphicData uri="http://schemas.microsoft.com/office/word/2010/wordprocessingShape">
                        <wps:wsp>
                          <wps:cNvSpPr/>
                          <wps:nvSpPr>
                            <wps:cNvPr id="3" name="Obdélník 2"/>
                            <wps:cNvSpPr/>
                          </wps:nvSpPr>
                          <wps:spPr>
                            <a:xfrm>
                              <a:off x="0" y="0"/>
                              <a:ext cx="1569600" cy="10672560"/>
                            </a:xfrm>
                            <a:prstGeom prst="rect">
                              <a:avLst/>
                            </a:prstGeom>
                            <a:gradFill rotWithShape="0">
                              <a:gsLst>
                                <a:gs pos="0">
                                  <a:srgbClr val="004181"/>
                                </a:gs>
                                <a:gs pos="100000">
                                  <a:srgbClr val="0075df"/>
                                </a:gs>
                              </a:gsLst>
                              <a:lin ang="10800000"/>
                            </a:gradFill>
                            <a:ln w="12600">
                              <a:solidFill>
                                <a:srgbClr val="0073cf"/>
                              </a:solidFill>
                              <a:round/>
                            </a:ln>
                          </wps:spPr>
                          <wps:bodyPr/>
                        </wps:wsp>
                      </a:graphicData>
                    </a:graphic>
                  </wp:anchor>
                </w:drawing>
              </mc:Choice>
              <mc:Fallback>
                <w:pict>
                  <v:rect id="shape_0" ID="Obdélník 2" fillcolor="#004181" stroked="t" o:allowincell="f" style="position:absolute;margin-left:-90pt;margin-top:-71.6pt;width:123.55pt;height:840.3pt;mso-wrap-style:none;v-text-anchor:middle">
                    <v:fill o:detectmouseclick="t" color2="#0075df"/>
                    <v:stroke color="#0073cf" weight="12600" joinstyle="round" endcap="flat"/>
                    <w10:wrap type="none"/>
                  </v:rect>
                </w:pict>
              </mc:Fallback>
            </mc:AlternateContent>
            <mc:AlternateContent>
              <mc:Choice Requires="wps">
                <w:drawing>
                  <wp:anchor behindDoc="0" distT="0" distB="0" distL="114300" distR="114300" simplePos="0" locked="0" layoutInCell="1" allowOverlap="1" relativeHeight="4">
                    <wp:simplePos x="0" y="0"/>
                    <wp:positionH relativeFrom="column">
                      <wp:posOffset>527050</wp:posOffset>
                    </wp:positionH>
                    <wp:positionV relativeFrom="paragraph">
                      <wp:posOffset>-909320</wp:posOffset>
                    </wp:positionV>
                    <wp:extent cx="0" cy="10671810"/>
                    <wp:effectExtent l="28575" t="0" r="28575" b="0"/>
                    <wp:wrapNone/>
                    <wp:docPr id="4" name="Přímá spojnice 3"/>
                    <a:graphic xmlns:a="http://schemas.openxmlformats.org/drawingml/2006/main">
                      <a:graphicData uri="http://schemas.microsoft.com/office/word/2010/wordprocessingShape">
                        <wps:wsp>
                          <wps:cNvSpPr/>
                          <wps:spPr>
                            <a:xfrm>
                              <a:off x="0" y="0"/>
                              <a:ext cx="0" cy="10671840"/>
                            </a:xfrm>
                            <a:prstGeom prst="line">
                              <a:avLst/>
                            </a:prstGeom>
                            <a:ln w="57240">
                              <a:solidFill>
                                <a:srgbClr val="0073cf"/>
                              </a:solidFill>
                              <a:miter/>
                            </a:ln>
                          </wps:spPr>
                          <wps:style>
                            <a:lnRef idx="0"/>
                            <a:fillRef idx="0"/>
                            <a:effectRef idx="0"/>
                            <a:fontRef idx="minor"/>
                          </wps:style>
                          <wps:bodyPr/>
                        </wps:wsp>
                      </a:graphicData>
                    </a:graphic>
                  </wp:anchor>
                </w:drawing>
              </mc:Choice>
              <mc:Fallback>
                <w:pict>
                  <v:line id="shape_0" from="41.5pt,-71.6pt" to="41.5pt,768.65pt" ID="Přímá spojnice 3" stroked="t" o:allowincell="f" style="position:absolute">
                    <v:stroke color="#0073cf" weight="57240" joinstyle="miter" endcap="flat"/>
                    <v:fill o:detectmouseclick="t" on="false"/>
                    <w10:wrap type="none"/>
                  </v:line>
                </w:pict>
              </mc:Fallback>
            </mc:AlternateContent>
          </w:r>
          <w:r>
            <w:rPr>
              <w:color w:themeColor="accent1" w:val="5B9BD5"/>
            </w:rPr>
            <w:t xml:space="preserve"> </w:t>
          </w:r>
        </w:p>
        <w:p>
          <w:pPr>
            <w:pStyle w:val="NoSpacing"/>
            <w:tabs>
              <w:tab w:val="clear" w:pos="708"/>
              <w:tab w:val="left" w:pos="3761" w:leader="none"/>
              <w:tab w:val="center" w:pos="4536" w:leader="none"/>
            </w:tabs>
            <w:spacing w:before="480" w:after="0"/>
            <w:ind w:left="1701"/>
            <w:rPr/>
          </w:pPr>
          <w:r>
            <w:rPr/>
            <w:tab/>
            <w:tab/>
          </w:r>
        </w:p>
        <w:p>
          <w:pPr>
            <w:pStyle w:val="NoSpacing"/>
            <w:spacing w:before="480" w:after="0"/>
            <w:ind w:left="1134" w:right="-567"/>
            <w:jc w:val="center"/>
            <w:rPr>
              <w:rFonts w:cs="Times New Roman"/>
              <w:b/>
              <w:color w:val="0073CF"/>
              <w:sz w:val="52"/>
            </w:rPr>
          </w:pPr>
          <w:r>
            <w:rPr>
              <w:rFonts w:cs="Times New Roman"/>
              <w:b/>
              <w:color w:val="0073CF"/>
              <w:sz w:val="52"/>
            </w:rPr>
            <w:t>Školní vzdělávací program pro předškolní vzdělávání</w:t>
          </w:r>
        </w:p>
        <w:p>
          <w:pPr>
            <w:pStyle w:val="NoSpacing"/>
            <w:spacing w:before="480" w:after="0"/>
            <w:ind w:left="1701"/>
            <w:jc w:val="center"/>
            <w:rPr/>
          </w:pPr>
          <w:r>
            <w:rPr/>
          </w:r>
        </w:p>
        <w:p>
          <w:pPr>
            <w:pStyle w:val="NoSpacing"/>
            <w:spacing w:before="480" w:after="0"/>
            <w:ind w:left="1701"/>
            <w:jc w:val="center"/>
            <w:rPr/>
          </w:pPr>
          <w:r>
            <w:rPr/>
          </w:r>
        </w:p>
        <w:p>
          <w:pPr>
            <w:pStyle w:val="NoSpacing"/>
            <w:spacing w:before="480" w:after="0"/>
            <w:ind w:left="1701"/>
            <w:jc w:val="center"/>
            <w:rPr/>
          </w:pPr>
          <w:r>
            <w:rPr/>
          </w:r>
        </w:p>
        <w:p>
          <w:pPr>
            <w:pStyle w:val="NoSpacing"/>
            <w:spacing w:before="480" w:after="0"/>
            <w:ind w:left="1701" w:right="-567"/>
            <w:jc w:val="center"/>
            <w:rPr>
              <w:rFonts w:ascii="Times New Roman" w:hAnsi="Times New Roman" w:cs="Times New Roman"/>
              <w:sz w:val="32"/>
            </w:rPr>
          </w:pPr>
          <w:r>
            <w:rPr>
              <w:rFonts w:cs="Times New Roman" w:ascii="Times New Roman" w:hAnsi="Times New Roman"/>
              <w:sz w:val="32"/>
            </w:rPr>
          </w:r>
        </w:p>
      </w:sdtContent>
    </w:sdt>
    <w:p>
      <w:pPr>
        <w:pStyle w:val="Normal"/>
        <w:jc w:val="left"/>
        <w:rPr>
          <w:rStyle w:val="Strong"/>
        </w:rPr>
      </w:pPr>
      <w:r>
        <w:rPr>
          <w:rStyle w:val="Strong"/>
        </w:rPr>
        <w:tab/>
        <w:tab/>
        <w:tab/>
      </w:r>
    </w:p>
    <w:p>
      <w:pPr>
        <w:sectPr>
          <w:headerReference w:type="default" r:id="rId2"/>
          <w:footerReference w:type="default" r:id="rId3"/>
          <w:type w:val="nextPage"/>
          <w:pgSz w:w="11906" w:h="16838"/>
          <w:pgMar w:left="1800" w:right="1325" w:gutter="0" w:header="720" w:top="1440" w:footer="720" w:bottom="1440"/>
          <w:pgNumType w:fmt="decimal"/>
          <w:formProt w:val="false"/>
          <w:textDirection w:val="lrTb"/>
          <w:docGrid w:type="default" w:linePitch="299" w:charSpace="0"/>
        </w:sectPr>
      </w:pPr>
    </w:p>
    <w:sdt>
      <w:sdtPr>
        <w:docPartObj>
          <w:docPartGallery w:val="Table of Contents"/>
          <w:docPartUnique w:val="true"/>
        </w:docPartObj>
      </w:sdtPr>
      <w:sdtContent>
        <w:p>
          <w:pPr>
            <w:pStyle w:val="TOC1"/>
            <w:rPr/>
          </w:pPr>
          <w:r>
            <w:fldChar w:fldCharType="begin"/>
          </w:r>
          <w:r>
            <w:rPr>
              <w:webHidden/>
              <w:rStyle w:val="Odkaznarejstk"/>
            </w:rPr>
            <w:instrText xml:space="preserve"> TOC \z \o "1-3" \u \h</w:instrText>
          </w:r>
          <w:r>
            <w:rPr>
              <w:webHidden/>
              <w:rStyle w:val="Odkaznarejstk"/>
            </w:rPr>
            <w:fldChar w:fldCharType="separate"/>
          </w:r>
          <w:hyperlink w:anchor="_Toc256000000">
            <w:r>
              <w:rPr>
                <w:webHidden/>
              </w:rPr>
              <w:fldChar w:fldCharType="begin"/>
            </w:r>
            <w:r>
              <w:rPr>
                <w:webHidden/>
              </w:rPr>
              <w:instrText xml:space="preserve">PAGEREF _Toc256000000 \h</w:instrText>
            </w:r>
            <w:r>
              <w:rPr>
                <w:webHidden/>
              </w:rPr>
              <w:fldChar w:fldCharType="separate"/>
            </w:r>
            <w:r>
              <w:rPr>
                <w:webHidden/>
                <w:rStyle w:val="Odkaznarejstk"/>
              </w:rPr>
              <w:t>1</w:t>
              <w:tab/>
              <w:t>Identifikační údaje o škole</w:t>
              <w:tab/>
              <w:t>3</w:t>
            </w:r>
            <w:r>
              <w:rPr>
                <w:webHidden/>
              </w:rPr>
              <w:fldChar w:fldCharType="end"/>
            </w:r>
          </w:hyperlink>
        </w:p>
        <w:p>
          <w:pPr>
            <w:pStyle w:val="TOC2"/>
            <w:rPr/>
          </w:pPr>
          <w:hyperlink w:anchor="_Toc256000001">
            <w:r>
              <w:rPr>
                <w:webHidden/>
              </w:rPr>
              <w:fldChar w:fldCharType="begin"/>
            </w:r>
            <w:r>
              <w:rPr>
                <w:webHidden/>
              </w:rPr>
              <w:instrText xml:space="preserve">PAGEREF _Toc256000001 \h</w:instrText>
            </w:r>
            <w:r>
              <w:rPr>
                <w:webHidden/>
              </w:rPr>
              <w:fldChar w:fldCharType="separate"/>
            </w:r>
            <w:r>
              <w:rPr>
                <w:webHidden/>
                <w:rStyle w:val="Odkaznarejstk"/>
              </w:rPr>
              <w:t>1.1</w:t>
              <w:tab/>
              <w:t>Název ŠVP</w:t>
              <w:tab/>
              <w:t>3</w:t>
            </w:r>
            <w:r>
              <w:rPr>
                <w:webHidden/>
              </w:rPr>
              <w:fldChar w:fldCharType="end"/>
            </w:r>
          </w:hyperlink>
        </w:p>
        <w:p>
          <w:pPr>
            <w:pStyle w:val="TOC2"/>
            <w:rPr/>
          </w:pPr>
          <w:hyperlink w:anchor="_Toc256000002">
            <w:r>
              <w:rPr>
                <w:webHidden/>
              </w:rPr>
              <w:fldChar w:fldCharType="begin"/>
            </w:r>
            <w:r>
              <w:rPr>
                <w:webHidden/>
              </w:rPr>
              <w:instrText xml:space="preserve">PAGEREF _Toc256000002 \h</w:instrText>
            </w:r>
            <w:r>
              <w:rPr>
                <w:webHidden/>
              </w:rPr>
              <w:fldChar w:fldCharType="separate"/>
            </w:r>
            <w:r>
              <w:rPr>
                <w:webHidden/>
                <w:rStyle w:val="Odkaznarejstk"/>
              </w:rPr>
              <w:t>1.2</w:t>
              <w:tab/>
              <w:t>Údaje o škole</w:t>
              <w:tab/>
              <w:t>3</w:t>
            </w:r>
            <w:r>
              <w:rPr>
                <w:webHidden/>
              </w:rPr>
              <w:fldChar w:fldCharType="end"/>
            </w:r>
          </w:hyperlink>
        </w:p>
        <w:p>
          <w:pPr>
            <w:pStyle w:val="TOC2"/>
            <w:rPr/>
          </w:pPr>
          <w:hyperlink w:anchor="_Toc256000003">
            <w:r>
              <w:rPr>
                <w:webHidden/>
              </w:rPr>
              <w:fldChar w:fldCharType="begin"/>
            </w:r>
            <w:r>
              <w:rPr>
                <w:webHidden/>
              </w:rPr>
              <w:instrText xml:space="preserve">PAGEREF _Toc256000003 \h</w:instrText>
            </w:r>
            <w:r>
              <w:rPr>
                <w:webHidden/>
              </w:rPr>
              <w:fldChar w:fldCharType="separate"/>
            </w:r>
            <w:r>
              <w:rPr>
                <w:webHidden/>
                <w:rStyle w:val="Odkaznarejstk"/>
              </w:rPr>
              <w:t>1.3</w:t>
              <w:tab/>
              <w:t>Zřizovatel</w:t>
              <w:tab/>
              <w:t>3</w:t>
            </w:r>
            <w:r>
              <w:rPr>
                <w:webHidden/>
              </w:rPr>
              <w:fldChar w:fldCharType="end"/>
            </w:r>
          </w:hyperlink>
        </w:p>
        <w:p>
          <w:pPr>
            <w:pStyle w:val="TOC2"/>
            <w:rPr/>
          </w:pPr>
          <w:hyperlink w:anchor="_Toc256000004">
            <w:r>
              <w:rPr>
                <w:webHidden/>
              </w:rPr>
              <w:fldChar w:fldCharType="begin"/>
            </w:r>
            <w:r>
              <w:rPr>
                <w:webHidden/>
              </w:rPr>
              <w:instrText xml:space="preserve">PAGEREF _Toc256000004 \h</w:instrText>
            </w:r>
            <w:r>
              <w:rPr>
                <w:webHidden/>
              </w:rPr>
              <w:fldChar w:fldCharType="separate"/>
            </w:r>
            <w:r>
              <w:rPr>
                <w:webHidden/>
                <w:rStyle w:val="Odkaznarejstk"/>
              </w:rPr>
              <w:t>1.4</w:t>
              <w:tab/>
              <w:t>Platnost dokumentu</w:t>
              <w:tab/>
              <w:t>3</w:t>
            </w:r>
            <w:r>
              <w:rPr>
                <w:webHidden/>
              </w:rPr>
              <w:fldChar w:fldCharType="end"/>
            </w:r>
          </w:hyperlink>
        </w:p>
        <w:p>
          <w:pPr>
            <w:pStyle w:val="TOC1"/>
            <w:rPr/>
          </w:pPr>
          <w:hyperlink w:anchor="_Toc256000006">
            <w:r>
              <w:rPr>
                <w:webHidden/>
              </w:rPr>
              <w:fldChar w:fldCharType="begin"/>
            </w:r>
            <w:r>
              <w:rPr>
                <w:webHidden/>
              </w:rPr>
              <w:instrText xml:space="preserve">PAGEREF _Toc256000006 \h</w:instrText>
            </w:r>
            <w:r>
              <w:rPr>
                <w:webHidden/>
              </w:rPr>
              <w:fldChar w:fldCharType="separate"/>
            </w:r>
            <w:r>
              <w:rPr>
                <w:webHidden/>
                <w:rStyle w:val="Odkaznarejstk"/>
              </w:rPr>
              <w:t>2</w:t>
              <w:tab/>
              <w:t>Obecná charakteristika školy</w:t>
              <w:tab/>
              <w:t>5</w:t>
            </w:r>
            <w:r>
              <w:rPr>
                <w:webHidden/>
              </w:rPr>
              <w:fldChar w:fldCharType="end"/>
            </w:r>
          </w:hyperlink>
        </w:p>
        <w:p>
          <w:pPr>
            <w:pStyle w:val="TOC2"/>
            <w:rPr/>
          </w:pPr>
          <w:hyperlink w:anchor="_Toc256000007">
            <w:r>
              <w:rPr>
                <w:webHidden/>
              </w:rPr>
              <w:fldChar w:fldCharType="begin"/>
            </w:r>
            <w:r>
              <w:rPr>
                <w:webHidden/>
              </w:rPr>
              <w:instrText xml:space="preserve">PAGEREF _Toc256000007 \h</w:instrText>
            </w:r>
            <w:r>
              <w:rPr>
                <w:webHidden/>
              </w:rPr>
              <w:fldChar w:fldCharType="separate"/>
            </w:r>
            <w:r>
              <w:rPr>
                <w:webHidden/>
                <w:rStyle w:val="Odkaznarejstk"/>
              </w:rPr>
              <w:t>2.1</w:t>
              <w:tab/>
              <w:t>Velikost školy</w:t>
              <w:tab/>
              <w:t>5</w:t>
            </w:r>
            <w:r>
              <w:rPr>
                <w:webHidden/>
              </w:rPr>
              <w:fldChar w:fldCharType="end"/>
            </w:r>
          </w:hyperlink>
        </w:p>
        <w:p>
          <w:pPr>
            <w:pStyle w:val="TOC2"/>
            <w:rPr/>
          </w:pPr>
          <w:hyperlink w:anchor="_Toc256000008">
            <w:r>
              <w:rPr>
                <w:webHidden/>
              </w:rPr>
              <w:fldChar w:fldCharType="begin"/>
            </w:r>
            <w:r>
              <w:rPr>
                <w:webHidden/>
              </w:rPr>
              <w:instrText xml:space="preserve">PAGEREF _Toc256000008 \h</w:instrText>
            </w:r>
            <w:r>
              <w:rPr>
                <w:webHidden/>
              </w:rPr>
              <w:fldChar w:fldCharType="separate"/>
            </w:r>
            <w:r>
              <w:rPr>
                <w:webHidden/>
                <w:rStyle w:val="Odkaznarejstk"/>
              </w:rPr>
              <w:t>2.2</w:t>
              <w:tab/>
              <w:t>Lokalita školy</w:t>
              <w:tab/>
              <w:t>5</w:t>
            </w:r>
            <w:r>
              <w:rPr>
                <w:webHidden/>
              </w:rPr>
              <w:fldChar w:fldCharType="end"/>
            </w:r>
          </w:hyperlink>
        </w:p>
        <w:p>
          <w:pPr>
            <w:pStyle w:val="TOC2"/>
            <w:rPr/>
          </w:pPr>
          <w:hyperlink w:anchor="_Toc256000009">
            <w:r>
              <w:rPr>
                <w:webHidden/>
              </w:rPr>
              <w:fldChar w:fldCharType="begin"/>
            </w:r>
            <w:r>
              <w:rPr>
                <w:webHidden/>
              </w:rPr>
              <w:instrText xml:space="preserve">PAGEREF _Toc256000009 \h</w:instrText>
            </w:r>
            <w:r>
              <w:rPr>
                <w:webHidden/>
              </w:rPr>
              <w:fldChar w:fldCharType="separate"/>
            </w:r>
            <w:r>
              <w:rPr>
                <w:webHidden/>
                <w:rStyle w:val="Odkaznarejstk"/>
              </w:rPr>
              <w:t>2.3</w:t>
              <w:tab/>
              <w:t>Charakter a specifika budovy</w:t>
              <w:tab/>
              <w:t>5</w:t>
            </w:r>
            <w:r>
              <w:rPr>
                <w:webHidden/>
              </w:rPr>
              <w:fldChar w:fldCharType="end"/>
            </w:r>
          </w:hyperlink>
        </w:p>
        <w:p>
          <w:pPr>
            <w:pStyle w:val="TOC1"/>
            <w:rPr/>
          </w:pPr>
          <w:hyperlink w:anchor="_Toc256000010">
            <w:r>
              <w:rPr>
                <w:webHidden/>
              </w:rPr>
              <w:fldChar w:fldCharType="begin"/>
            </w:r>
            <w:r>
              <w:rPr>
                <w:webHidden/>
              </w:rPr>
              <w:instrText xml:space="preserve">PAGEREF _Toc256000010 \h</w:instrText>
            </w:r>
            <w:r>
              <w:rPr>
                <w:webHidden/>
              </w:rPr>
              <w:fldChar w:fldCharType="separate"/>
            </w:r>
            <w:r>
              <w:rPr>
                <w:webHidden/>
                <w:rStyle w:val="Odkaznarejstk"/>
              </w:rPr>
              <w:t>3</w:t>
              <w:tab/>
              <w:t>Podmínky vzdělávání</w:t>
              <w:tab/>
              <w:t>6</w:t>
            </w:r>
            <w:r>
              <w:rPr>
                <w:webHidden/>
              </w:rPr>
              <w:fldChar w:fldCharType="end"/>
            </w:r>
          </w:hyperlink>
        </w:p>
        <w:p>
          <w:pPr>
            <w:pStyle w:val="TOC2"/>
            <w:rPr/>
          </w:pPr>
          <w:hyperlink w:anchor="_Toc256000011">
            <w:r>
              <w:rPr>
                <w:webHidden/>
              </w:rPr>
              <w:fldChar w:fldCharType="begin"/>
            </w:r>
            <w:r>
              <w:rPr>
                <w:webHidden/>
              </w:rPr>
              <w:instrText xml:space="preserve">PAGEREF _Toc256000011 \h</w:instrText>
            </w:r>
            <w:r>
              <w:rPr>
                <w:webHidden/>
              </w:rPr>
              <w:fldChar w:fldCharType="separate"/>
            </w:r>
            <w:r>
              <w:rPr>
                <w:webHidden/>
                <w:rStyle w:val="Odkaznarejstk"/>
              </w:rPr>
              <w:t>3.1</w:t>
              <w:tab/>
              <w:t>Věcné podmínky</w:t>
              <w:tab/>
              <w:t>6</w:t>
            </w:r>
            <w:r>
              <w:rPr>
                <w:webHidden/>
              </w:rPr>
              <w:fldChar w:fldCharType="end"/>
            </w:r>
          </w:hyperlink>
        </w:p>
        <w:p>
          <w:pPr>
            <w:pStyle w:val="TOC2"/>
            <w:rPr/>
          </w:pPr>
          <w:hyperlink w:anchor="_Toc256000012">
            <w:r>
              <w:rPr>
                <w:webHidden/>
              </w:rPr>
              <w:fldChar w:fldCharType="begin"/>
            </w:r>
            <w:r>
              <w:rPr>
                <w:webHidden/>
              </w:rPr>
              <w:instrText xml:space="preserve">PAGEREF _Toc256000012 \h</w:instrText>
            </w:r>
            <w:r>
              <w:rPr>
                <w:webHidden/>
              </w:rPr>
              <w:fldChar w:fldCharType="separate"/>
            </w:r>
            <w:r>
              <w:rPr>
                <w:webHidden/>
                <w:rStyle w:val="Odkaznarejstk"/>
              </w:rPr>
              <w:t>3.2</w:t>
              <w:tab/>
              <w:t>Životospráva</w:t>
              <w:tab/>
              <w:t>8</w:t>
            </w:r>
            <w:r>
              <w:rPr>
                <w:webHidden/>
              </w:rPr>
              <w:fldChar w:fldCharType="end"/>
            </w:r>
          </w:hyperlink>
        </w:p>
        <w:p>
          <w:pPr>
            <w:pStyle w:val="TOC2"/>
            <w:rPr/>
          </w:pPr>
          <w:hyperlink w:anchor="_Toc256000013">
            <w:r>
              <w:rPr>
                <w:webHidden/>
              </w:rPr>
              <w:fldChar w:fldCharType="begin"/>
            </w:r>
            <w:r>
              <w:rPr>
                <w:webHidden/>
              </w:rPr>
              <w:instrText xml:space="preserve">PAGEREF _Toc256000013 \h</w:instrText>
            </w:r>
            <w:r>
              <w:rPr>
                <w:webHidden/>
              </w:rPr>
              <w:fldChar w:fldCharType="separate"/>
            </w:r>
            <w:r>
              <w:rPr>
                <w:webHidden/>
                <w:rStyle w:val="Odkaznarejstk"/>
              </w:rPr>
              <w:t>3.3</w:t>
              <w:tab/>
              <w:t>Psychosociální podmínky</w:t>
              <w:tab/>
              <w:t>9</w:t>
            </w:r>
            <w:r>
              <w:rPr>
                <w:webHidden/>
              </w:rPr>
              <w:fldChar w:fldCharType="end"/>
            </w:r>
          </w:hyperlink>
        </w:p>
        <w:p>
          <w:pPr>
            <w:pStyle w:val="TOC2"/>
            <w:rPr/>
          </w:pPr>
          <w:hyperlink w:anchor="_Toc256000014">
            <w:r>
              <w:rPr>
                <w:webHidden/>
              </w:rPr>
              <w:fldChar w:fldCharType="begin"/>
            </w:r>
            <w:r>
              <w:rPr>
                <w:webHidden/>
              </w:rPr>
              <w:instrText xml:space="preserve">PAGEREF _Toc256000014 \h</w:instrText>
            </w:r>
            <w:r>
              <w:rPr>
                <w:webHidden/>
              </w:rPr>
              <w:fldChar w:fldCharType="separate"/>
            </w:r>
            <w:r>
              <w:rPr>
                <w:webHidden/>
                <w:rStyle w:val="Odkaznarejstk"/>
              </w:rPr>
              <w:t>3.4</w:t>
              <w:tab/>
              <w:t>Organizace chodu</w:t>
              <w:tab/>
              <w:t>9</w:t>
            </w:r>
            <w:r>
              <w:rPr>
                <w:webHidden/>
              </w:rPr>
              <w:fldChar w:fldCharType="end"/>
            </w:r>
          </w:hyperlink>
        </w:p>
        <w:p>
          <w:pPr>
            <w:pStyle w:val="TOC2"/>
            <w:rPr/>
          </w:pPr>
          <w:hyperlink w:anchor="_Toc256000015">
            <w:r>
              <w:rPr>
                <w:webHidden/>
              </w:rPr>
              <w:fldChar w:fldCharType="begin"/>
            </w:r>
            <w:r>
              <w:rPr>
                <w:webHidden/>
              </w:rPr>
              <w:instrText xml:space="preserve">PAGEREF _Toc256000015 \h</w:instrText>
            </w:r>
            <w:r>
              <w:rPr>
                <w:webHidden/>
              </w:rPr>
              <w:fldChar w:fldCharType="separate"/>
            </w:r>
            <w:r>
              <w:rPr>
                <w:webHidden/>
                <w:rStyle w:val="Odkaznarejstk"/>
              </w:rPr>
              <w:t>3.5</w:t>
              <w:tab/>
              <w:t>Řízení mateřské školy</w:t>
              <w:tab/>
              <w:t>11</w:t>
            </w:r>
            <w:r>
              <w:rPr>
                <w:webHidden/>
              </w:rPr>
              <w:fldChar w:fldCharType="end"/>
            </w:r>
          </w:hyperlink>
        </w:p>
        <w:p>
          <w:pPr>
            <w:pStyle w:val="TOC2"/>
            <w:rPr/>
          </w:pPr>
          <w:hyperlink w:anchor="_Toc256000016">
            <w:r>
              <w:rPr>
                <w:webHidden/>
              </w:rPr>
              <w:fldChar w:fldCharType="begin"/>
            </w:r>
            <w:r>
              <w:rPr>
                <w:webHidden/>
              </w:rPr>
              <w:instrText xml:space="preserve">PAGEREF _Toc256000016 \h</w:instrText>
            </w:r>
            <w:r>
              <w:rPr>
                <w:webHidden/>
              </w:rPr>
              <w:fldChar w:fldCharType="separate"/>
            </w:r>
            <w:r>
              <w:rPr>
                <w:webHidden/>
                <w:rStyle w:val="Odkaznarejstk"/>
              </w:rPr>
              <w:t>3.6</w:t>
              <w:tab/>
              <w:t>Personální a pedagogické zajištění</w:t>
              <w:tab/>
              <w:t>12</w:t>
            </w:r>
            <w:r>
              <w:rPr>
                <w:webHidden/>
              </w:rPr>
              <w:fldChar w:fldCharType="end"/>
            </w:r>
          </w:hyperlink>
        </w:p>
        <w:p>
          <w:pPr>
            <w:pStyle w:val="TOC2"/>
            <w:rPr/>
          </w:pPr>
          <w:hyperlink w:anchor="_Toc256000017">
            <w:r>
              <w:rPr>
                <w:webHidden/>
              </w:rPr>
              <w:fldChar w:fldCharType="begin"/>
            </w:r>
            <w:r>
              <w:rPr>
                <w:webHidden/>
              </w:rPr>
              <w:instrText xml:space="preserve">PAGEREF _Toc256000017 \h</w:instrText>
            </w:r>
            <w:r>
              <w:rPr>
                <w:webHidden/>
              </w:rPr>
              <w:fldChar w:fldCharType="separate"/>
            </w:r>
            <w:r>
              <w:rPr>
                <w:webHidden/>
                <w:rStyle w:val="Odkaznarejstk"/>
              </w:rPr>
              <w:t>3.7</w:t>
              <w:tab/>
              <w:t>Spoluúčast rodičů</w:t>
              <w:tab/>
              <w:t>12</w:t>
            </w:r>
            <w:r>
              <w:rPr>
                <w:webHidden/>
              </w:rPr>
              <w:fldChar w:fldCharType="end"/>
            </w:r>
          </w:hyperlink>
        </w:p>
        <w:p>
          <w:pPr>
            <w:pStyle w:val="TOC2"/>
            <w:rPr/>
          </w:pPr>
          <w:hyperlink w:anchor="_Toc256000018">
            <w:r>
              <w:rPr>
                <w:webHidden/>
              </w:rPr>
              <w:fldChar w:fldCharType="begin"/>
            </w:r>
            <w:r>
              <w:rPr>
                <w:webHidden/>
              </w:rPr>
              <w:instrText xml:space="preserve">PAGEREF _Toc256000018 \h</w:instrText>
            </w:r>
            <w:r>
              <w:rPr>
                <w:webHidden/>
              </w:rPr>
              <w:fldChar w:fldCharType="separate"/>
            </w:r>
            <w:r>
              <w:rPr>
                <w:webHidden/>
                <w:rStyle w:val="Odkaznarejstk"/>
              </w:rPr>
              <w:t>3.8</w:t>
              <w:tab/>
              <w:t>Podmínky pro vzdělávání dětí se speciálními vzdělávacími potřebami</w:t>
              <w:tab/>
              <w:t>13</w:t>
            </w:r>
            <w:r>
              <w:rPr>
                <w:webHidden/>
              </w:rPr>
              <w:fldChar w:fldCharType="end"/>
            </w:r>
          </w:hyperlink>
        </w:p>
        <w:p>
          <w:pPr>
            <w:pStyle w:val="TOC2"/>
            <w:rPr/>
          </w:pPr>
          <w:hyperlink w:anchor="_Toc256000019">
            <w:r>
              <w:rPr>
                <w:webHidden/>
              </w:rPr>
              <w:fldChar w:fldCharType="begin"/>
            </w:r>
            <w:r>
              <w:rPr>
                <w:webHidden/>
              </w:rPr>
              <w:instrText xml:space="preserve">PAGEREF _Toc256000019 \h</w:instrText>
            </w:r>
            <w:r>
              <w:rPr>
                <w:webHidden/>
              </w:rPr>
              <w:fldChar w:fldCharType="separate"/>
            </w:r>
            <w:r>
              <w:rPr>
                <w:webHidden/>
                <w:rStyle w:val="Odkaznarejstk"/>
              </w:rPr>
              <w:t>3.9</w:t>
              <w:tab/>
              <w:t>Podmínky vzdělávání dětí nadaných</w:t>
              <w:tab/>
              <w:t>13</w:t>
            </w:r>
            <w:r>
              <w:rPr>
                <w:webHidden/>
              </w:rPr>
              <w:fldChar w:fldCharType="end"/>
            </w:r>
          </w:hyperlink>
        </w:p>
        <w:p>
          <w:pPr>
            <w:pStyle w:val="TOC2"/>
            <w:rPr/>
          </w:pPr>
          <w:hyperlink w:anchor="_Toc256000020">
            <w:r>
              <w:rPr>
                <w:webHidden/>
              </w:rPr>
              <w:fldChar w:fldCharType="begin"/>
            </w:r>
            <w:r>
              <w:rPr>
                <w:webHidden/>
              </w:rPr>
              <w:instrText xml:space="preserve">PAGEREF _Toc256000020 \h</w:instrText>
            </w:r>
            <w:r>
              <w:rPr>
                <w:webHidden/>
              </w:rPr>
              <w:fldChar w:fldCharType="separate"/>
            </w:r>
            <w:r>
              <w:rPr>
                <w:webHidden/>
                <w:rStyle w:val="Odkaznarejstk"/>
              </w:rPr>
              <w:t>3.10</w:t>
              <w:tab/>
              <w:t>Podmínky vzdělávání dětí od dvou do tří let</w:t>
              <w:tab/>
              <w:t>14</w:t>
            </w:r>
            <w:r>
              <w:rPr>
                <w:webHidden/>
              </w:rPr>
              <w:fldChar w:fldCharType="end"/>
            </w:r>
          </w:hyperlink>
        </w:p>
        <w:p>
          <w:pPr>
            <w:pStyle w:val="TOC1"/>
            <w:rPr/>
          </w:pPr>
          <w:hyperlink w:anchor="_Toc256000022">
            <w:r>
              <w:rPr>
                <w:webHidden/>
              </w:rPr>
              <w:fldChar w:fldCharType="begin"/>
            </w:r>
            <w:r>
              <w:rPr>
                <w:webHidden/>
              </w:rPr>
              <w:instrText xml:space="preserve">PAGEREF _Toc256000022 \h</w:instrText>
            </w:r>
            <w:r>
              <w:rPr>
                <w:webHidden/>
              </w:rPr>
              <w:fldChar w:fldCharType="separate"/>
            </w:r>
            <w:r>
              <w:rPr>
                <w:webHidden/>
                <w:rStyle w:val="Odkaznarejstk"/>
              </w:rPr>
              <w:t>4</w:t>
              <w:tab/>
              <w:t>Organizace vzdělávání</w:t>
              <w:tab/>
              <w:t>15</w:t>
            </w:r>
            <w:r>
              <w:rPr>
                <w:webHidden/>
              </w:rPr>
              <w:fldChar w:fldCharType="end"/>
            </w:r>
          </w:hyperlink>
        </w:p>
        <w:p>
          <w:pPr>
            <w:pStyle w:val="TOC1"/>
            <w:rPr/>
          </w:pPr>
          <w:hyperlink w:anchor="_Toc256000024">
            <w:r>
              <w:rPr>
                <w:webHidden/>
              </w:rPr>
              <w:fldChar w:fldCharType="begin"/>
            </w:r>
            <w:r>
              <w:rPr>
                <w:webHidden/>
              </w:rPr>
              <w:instrText xml:space="preserve">PAGEREF _Toc256000024 \h</w:instrText>
            </w:r>
            <w:r>
              <w:rPr>
                <w:webHidden/>
              </w:rPr>
              <w:fldChar w:fldCharType="separate"/>
            </w:r>
            <w:r>
              <w:rPr>
                <w:webHidden/>
                <w:rStyle w:val="Odkaznarejstk"/>
              </w:rPr>
              <w:t>5</w:t>
              <w:tab/>
              <w:t>Charakteristika vzdělávacího programu</w:t>
              <w:tab/>
              <w:t>16</w:t>
            </w:r>
            <w:r>
              <w:rPr>
                <w:webHidden/>
              </w:rPr>
              <w:fldChar w:fldCharType="end"/>
            </w:r>
          </w:hyperlink>
        </w:p>
        <w:p>
          <w:pPr>
            <w:pStyle w:val="TOC2"/>
            <w:rPr/>
          </w:pPr>
          <w:hyperlink w:anchor="_Toc256000025">
            <w:r>
              <w:rPr>
                <w:webHidden/>
              </w:rPr>
              <w:fldChar w:fldCharType="begin"/>
            </w:r>
            <w:r>
              <w:rPr>
                <w:webHidden/>
              </w:rPr>
              <w:instrText xml:space="preserve">PAGEREF _Toc256000025 \h</w:instrText>
            </w:r>
            <w:r>
              <w:rPr>
                <w:webHidden/>
              </w:rPr>
              <w:fldChar w:fldCharType="separate"/>
            </w:r>
            <w:r>
              <w:rPr>
                <w:webHidden/>
                <w:rStyle w:val="Odkaznarejstk"/>
              </w:rPr>
              <w:t>5.1</w:t>
              <w:tab/>
              <w:t>Zaměření školy</w:t>
              <w:tab/>
              <w:t>16</w:t>
            </w:r>
            <w:r>
              <w:rPr>
                <w:webHidden/>
              </w:rPr>
              <w:fldChar w:fldCharType="end"/>
            </w:r>
          </w:hyperlink>
        </w:p>
        <w:p>
          <w:pPr>
            <w:pStyle w:val="TOC2"/>
            <w:rPr/>
          </w:pPr>
          <w:hyperlink w:anchor="_Toc256000026">
            <w:r>
              <w:rPr>
                <w:webHidden/>
              </w:rPr>
              <w:fldChar w:fldCharType="begin"/>
            </w:r>
            <w:r>
              <w:rPr>
                <w:webHidden/>
              </w:rPr>
              <w:instrText xml:space="preserve">PAGEREF _Toc256000026 \h</w:instrText>
            </w:r>
            <w:r>
              <w:rPr>
                <w:webHidden/>
              </w:rPr>
              <w:fldChar w:fldCharType="separate"/>
            </w:r>
            <w:r>
              <w:rPr>
                <w:webHidden/>
                <w:rStyle w:val="Odkaznarejstk"/>
              </w:rPr>
              <w:t>5.2</w:t>
              <w:tab/>
              <w:t>Dlouhodobé cíle vzdělávacího programu</w:t>
              <w:tab/>
              <w:t>16</w:t>
            </w:r>
            <w:r>
              <w:rPr>
                <w:webHidden/>
              </w:rPr>
              <w:fldChar w:fldCharType="end"/>
            </w:r>
          </w:hyperlink>
        </w:p>
        <w:p>
          <w:pPr>
            <w:pStyle w:val="TOC2"/>
            <w:rPr/>
          </w:pPr>
          <w:hyperlink w:anchor="_Toc256000027">
            <w:r>
              <w:rPr>
                <w:webHidden/>
              </w:rPr>
              <w:fldChar w:fldCharType="begin"/>
            </w:r>
            <w:r>
              <w:rPr>
                <w:webHidden/>
              </w:rPr>
              <w:instrText xml:space="preserve">PAGEREF _Toc256000027 \h</w:instrText>
            </w:r>
            <w:r>
              <w:rPr>
                <w:webHidden/>
              </w:rPr>
              <w:fldChar w:fldCharType="separate"/>
            </w:r>
            <w:r>
              <w:rPr>
                <w:webHidden/>
                <w:rStyle w:val="Odkaznarejstk"/>
              </w:rPr>
              <w:t>5.3</w:t>
              <w:tab/>
              <w:t>Metody a formy vzdělávání</w:t>
              <w:tab/>
              <w:t>16</w:t>
            </w:r>
            <w:r>
              <w:rPr>
                <w:webHidden/>
              </w:rPr>
              <w:fldChar w:fldCharType="end"/>
            </w:r>
          </w:hyperlink>
        </w:p>
        <w:p>
          <w:pPr>
            <w:pStyle w:val="TOC2"/>
            <w:rPr/>
          </w:pPr>
          <w:hyperlink w:anchor="_Toc256000028">
            <w:r>
              <w:rPr>
                <w:webHidden/>
              </w:rPr>
              <w:fldChar w:fldCharType="begin"/>
            </w:r>
            <w:r>
              <w:rPr>
                <w:webHidden/>
              </w:rPr>
              <w:instrText xml:space="preserve">PAGEREF _Toc256000028 \h</w:instrText>
            </w:r>
            <w:r>
              <w:rPr>
                <w:webHidden/>
              </w:rPr>
              <w:fldChar w:fldCharType="separate"/>
            </w:r>
            <w:r>
              <w:rPr>
                <w:webHidden/>
                <w:rStyle w:val="Odkaznarejstk"/>
              </w:rPr>
              <w:t>5.4</w:t>
              <w:tab/>
              <w:t>Zajištění vzdělávání dětí se speciálními vzdělávacími potřebami a dětí nadaných</w:t>
              <w:tab/>
              <w:t>17</w:t>
            </w:r>
            <w:r>
              <w:rPr>
                <w:webHidden/>
              </w:rPr>
              <w:fldChar w:fldCharType="end"/>
            </w:r>
          </w:hyperlink>
        </w:p>
        <w:p>
          <w:pPr>
            <w:pStyle w:val="TOC2"/>
            <w:rPr/>
          </w:pPr>
          <w:hyperlink w:anchor="_Toc256000029">
            <w:r>
              <w:rPr>
                <w:webHidden/>
              </w:rPr>
              <w:fldChar w:fldCharType="begin"/>
            </w:r>
            <w:r>
              <w:rPr>
                <w:webHidden/>
              </w:rPr>
              <w:instrText xml:space="preserve">PAGEREF _Toc256000029 \h</w:instrText>
            </w:r>
            <w:r>
              <w:rPr>
                <w:webHidden/>
              </w:rPr>
              <w:fldChar w:fldCharType="separate"/>
            </w:r>
            <w:r>
              <w:rPr>
                <w:webHidden/>
                <w:rStyle w:val="Odkaznarejstk"/>
              </w:rPr>
              <w:t>5.5</w:t>
              <w:tab/>
              <w:t>Zajištění průběhu vzdělávání dětí od dvou do tří let</w:t>
              <w:tab/>
              <w:t>17</w:t>
            </w:r>
            <w:r>
              <w:rPr>
                <w:webHidden/>
              </w:rPr>
              <w:fldChar w:fldCharType="end"/>
            </w:r>
          </w:hyperlink>
        </w:p>
        <w:p>
          <w:pPr>
            <w:pStyle w:val="TOC1"/>
            <w:rPr/>
          </w:pPr>
          <w:hyperlink w:anchor="_Toc256000031">
            <w:r>
              <w:rPr>
                <w:webHidden/>
              </w:rPr>
              <w:fldChar w:fldCharType="begin"/>
            </w:r>
            <w:r>
              <w:rPr>
                <w:webHidden/>
              </w:rPr>
              <w:instrText xml:space="preserve">PAGEREF _Toc256000031 \h</w:instrText>
            </w:r>
            <w:r>
              <w:rPr>
                <w:webHidden/>
              </w:rPr>
              <w:fldChar w:fldCharType="separate"/>
            </w:r>
            <w:r>
              <w:rPr>
                <w:webHidden/>
                <w:rStyle w:val="Odkaznarejstk"/>
              </w:rPr>
              <w:t>6</w:t>
              <w:tab/>
              <w:t>Vzdělávací obsah</w:t>
              <w:tab/>
              <w:t>18</w:t>
            </w:r>
            <w:r>
              <w:rPr>
                <w:webHidden/>
              </w:rPr>
              <w:fldChar w:fldCharType="end"/>
            </w:r>
          </w:hyperlink>
        </w:p>
        <w:p>
          <w:pPr>
            <w:pStyle w:val="TOC2"/>
            <w:rPr/>
          </w:pPr>
          <w:hyperlink w:anchor="_Toc256000032">
            <w:r>
              <w:rPr>
                <w:webHidden/>
              </w:rPr>
              <w:fldChar w:fldCharType="begin"/>
            </w:r>
            <w:r>
              <w:rPr>
                <w:webHidden/>
              </w:rPr>
              <w:instrText xml:space="preserve">PAGEREF _Toc256000032 \h</w:instrText>
            </w:r>
            <w:r>
              <w:rPr>
                <w:webHidden/>
              </w:rPr>
              <w:fldChar w:fldCharType="separate"/>
            </w:r>
            <w:r>
              <w:rPr>
                <w:webHidden/>
                <w:rStyle w:val="Odkaznarejstk"/>
              </w:rPr>
              <w:t>6.1</w:t>
              <w:tab/>
              <w:t>Integrované bloky</w:t>
              <w:tab/>
              <w:t>18</w:t>
            </w:r>
            <w:r>
              <w:rPr>
                <w:webHidden/>
              </w:rPr>
              <w:fldChar w:fldCharType="end"/>
            </w:r>
          </w:hyperlink>
        </w:p>
        <w:p>
          <w:pPr>
            <w:pStyle w:val="TOC3"/>
            <w:rPr/>
          </w:pPr>
          <w:hyperlink w:anchor="_Toc256000033">
            <w:r>
              <w:rPr>
                <w:webHidden/>
              </w:rPr>
              <w:fldChar w:fldCharType="begin"/>
            </w:r>
            <w:r>
              <w:rPr>
                <w:webHidden/>
              </w:rPr>
              <w:instrText xml:space="preserve">PAGEREF _Toc256000033 \h</w:instrText>
            </w:r>
            <w:r>
              <w:rPr>
                <w:webHidden/>
              </w:rPr>
              <w:fldChar w:fldCharType="separate"/>
            </w:r>
            <w:r>
              <w:rPr>
                <w:webHidden/>
                <w:rStyle w:val="Odkaznarejstk"/>
              </w:rPr>
              <w:t>6.1.1</w:t>
              <w:tab/>
              <w:t>Objevujeme svět</w:t>
              <w:tab/>
              <w:t>18</w:t>
            </w:r>
            <w:r>
              <w:rPr>
                <w:webHidden/>
              </w:rPr>
              <w:fldChar w:fldCharType="end"/>
            </w:r>
          </w:hyperlink>
        </w:p>
        <w:p>
          <w:pPr>
            <w:pStyle w:val="TOC3"/>
            <w:rPr/>
          </w:pPr>
          <w:hyperlink w:anchor="_Toc256000034">
            <w:r>
              <w:rPr>
                <w:webHidden/>
              </w:rPr>
              <w:fldChar w:fldCharType="begin"/>
            </w:r>
            <w:r>
              <w:rPr>
                <w:webHidden/>
              </w:rPr>
              <w:instrText xml:space="preserve">PAGEREF _Toc256000034 \h</w:instrText>
            </w:r>
            <w:r>
              <w:rPr>
                <w:webHidden/>
              </w:rPr>
              <w:fldChar w:fldCharType="separate"/>
            </w:r>
            <w:r>
              <w:rPr>
                <w:webHidden/>
                <w:rStyle w:val="Odkaznarejstk"/>
              </w:rPr>
              <w:t>6.1.2</w:t>
              <w:tab/>
              <w:t>Tradice a slavnosti</w:t>
              <w:tab/>
              <w:t>22</w:t>
            </w:r>
            <w:r>
              <w:rPr>
                <w:webHidden/>
              </w:rPr>
              <w:fldChar w:fldCharType="end"/>
            </w:r>
          </w:hyperlink>
        </w:p>
        <w:p>
          <w:pPr>
            <w:pStyle w:val="TOC3"/>
            <w:rPr/>
          </w:pPr>
          <w:hyperlink w:anchor="_Toc256000035">
            <w:r>
              <w:rPr>
                <w:webHidden/>
              </w:rPr>
              <w:fldChar w:fldCharType="begin"/>
            </w:r>
            <w:r>
              <w:rPr>
                <w:webHidden/>
              </w:rPr>
              <w:instrText xml:space="preserve">PAGEREF _Toc256000035 \h</w:instrText>
            </w:r>
            <w:r>
              <w:rPr>
                <w:webHidden/>
              </w:rPr>
              <w:fldChar w:fldCharType="separate"/>
            </w:r>
            <w:r>
              <w:rPr>
                <w:webHidden/>
                <w:rStyle w:val="Odkaznarejstk"/>
              </w:rPr>
              <w:t>6.1.3</w:t>
              <w:tab/>
              <w:t>Poznáváme přírodu</w:t>
              <w:tab/>
              <w:t>25</w:t>
            </w:r>
            <w:r>
              <w:rPr>
                <w:webHidden/>
              </w:rPr>
              <w:fldChar w:fldCharType="end"/>
            </w:r>
          </w:hyperlink>
        </w:p>
        <w:p>
          <w:pPr>
            <w:pStyle w:val="TOC3"/>
            <w:rPr/>
          </w:pPr>
          <w:hyperlink w:anchor="_Toc256000036">
            <w:r>
              <w:rPr>
                <w:webHidden/>
              </w:rPr>
              <w:fldChar w:fldCharType="begin"/>
            </w:r>
            <w:r>
              <w:rPr>
                <w:webHidden/>
              </w:rPr>
              <w:instrText xml:space="preserve">PAGEREF _Toc256000036 \h</w:instrText>
            </w:r>
            <w:r>
              <w:rPr>
                <w:webHidden/>
              </w:rPr>
              <w:fldChar w:fldCharType="separate"/>
            </w:r>
            <w:r>
              <w:rPr>
                <w:webHidden/>
                <w:rStyle w:val="Odkaznarejstk"/>
              </w:rPr>
              <w:t>6.1.4</w:t>
              <w:tab/>
              <w:t>Říše pohádek</w:t>
              <w:tab/>
              <w:t>29</w:t>
            </w:r>
            <w:r>
              <w:rPr>
                <w:webHidden/>
              </w:rPr>
              <w:fldChar w:fldCharType="end"/>
            </w:r>
          </w:hyperlink>
        </w:p>
        <w:p>
          <w:pPr>
            <w:pStyle w:val="TOC2"/>
            <w:rPr/>
          </w:pPr>
          <w:hyperlink w:anchor="_Toc256000037">
            <w:r>
              <w:rPr>
                <w:webHidden/>
              </w:rPr>
              <w:fldChar w:fldCharType="begin"/>
            </w:r>
            <w:r>
              <w:rPr>
                <w:webHidden/>
              </w:rPr>
              <w:instrText xml:space="preserve">PAGEREF _Toc256000037 \h</w:instrText>
            </w:r>
            <w:r>
              <w:rPr>
                <w:webHidden/>
              </w:rPr>
              <w:fldChar w:fldCharType="separate"/>
            </w:r>
            <w:r>
              <w:rPr>
                <w:webHidden/>
                <w:rStyle w:val="Odkaznarejstk"/>
              </w:rPr>
              <w:t>6.2</w:t>
              <w:tab/>
              <w:t>Popis zpracování třídního vzdělávacího programu</w:t>
              <w:tab/>
              <w:t>32</w:t>
            </w:r>
            <w:r>
              <w:rPr>
                <w:webHidden/>
              </w:rPr>
              <w:fldChar w:fldCharType="end"/>
            </w:r>
          </w:hyperlink>
        </w:p>
        <w:p>
          <w:pPr>
            <w:pStyle w:val="TOC2"/>
            <w:rPr/>
          </w:pPr>
          <w:hyperlink w:anchor="_Toc256000038">
            <w:r>
              <w:rPr>
                <w:webHidden/>
              </w:rPr>
              <w:fldChar w:fldCharType="begin"/>
            </w:r>
            <w:r>
              <w:rPr>
                <w:webHidden/>
              </w:rPr>
              <w:instrText xml:space="preserve">PAGEREF _Toc256000038 \h</w:instrText>
            </w:r>
            <w:r>
              <w:rPr>
                <w:webHidden/>
              </w:rPr>
              <w:fldChar w:fldCharType="separate"/>
            </w:r>
            <w:r>
              <w:rPr>
                <w:webHidden/>
                <w:rStyle w:val="Odkaznarejstk"/>
              </w:rPr>
              <w:t>6.3</w:t>
              <w:tab/>
              <w:t>Dílčí projekty a programy</w:t>
              <w:tab/>
              <w:t>32</w:t>
            </w:r>
            <w:r>
              <w:rPr>
                <w:webHidden/>
              </w:rPr>
              <w:fldChar w:fldCharType="end"/>
            </w:r>
          </w:hyperlink>
        </w:p>
        <w:p>
          <w:pPr>
            <w:pStyle w:val="TOC1"/>
            <w:rPr/>
          </w:pPr>
          <w:hyperlink w:anchor="_Toc256000039">
            <w:r>
              <w:rPr>
                <w:webHidden/>
              </w:rPr>
              <w:fldChar w:fldCharType="begin"/>
            </w:r>
            <w:r>
              <w:rPr>
                <w:webHidden/>
              </w:rPr>
              <w:instrText xml:space="preserve">PAGEREF _Toc256000039 \h</w:instrText>
            </w:r>
            <w:r>
              <w:rPr>
                <w:webHidden/>
              </w:rPr>
              <w:fldChar w:fldCharType="separate"/>
            </w:r>
            <w:r>
              <w:rPr>
                <w:webHidden/>
                <w:rStyle w:val="Odkaznarejstk"/>
              </w:rPr>
              <w:t>7</w:t>
              <w:tab/>
              <w:t>Systém evaluace</w:t>
              <w:tab/>
              <w:t>34</w:t>
            </w:r>
            <w:r>
              <w:rPr>
                <w:webHidden/>
              </w:rPr>
              <w:fldChar w:fldCharType="end"/>
            </w:r>
          </w:hyperlink>
          <w:r>
            <w:rPr>
              <w:rStyle w:val="Odkaznarejstk"/>
            </w:rPr>
            <w:fldChar w:fldCharType="end"/>
          </w:r>
        </w:p>
      </w:sdtContent>
    </w:sdt>
    <w:p>
      <w:pPr>
        <w:pStyle w:val="Normal"/>
        <w:spacing w:before="0" w:after="322"/>
        <w:rPr/>
      </w:pPr>
      <w:r>
        <w:rPr/>
      </w:r>
    </w:p>
    <w:p>
      <w:pPr>
        <w:sectPr>
          <w:headerReference w:type="default" r:id="rId4"/>
          <w:headerReference w:type="first" r:id="rId5"/>
          <w:footerReference w:type="default" r:id="rId6"/>
          <w:footerReference w:type="first" r:id="rId7"/>
          <w:type w:val="nextPage"/>
          <w:pgSz w:w="11906" w:h="16838"/>
          <w:pgMar w:left="1800" w:right="1325" w:gutter="0" w:header="720" w:top="1440" w:footer="720" w:bottom="1440"/>
          <w:pgNumType w:fmt="decimal"/>
          <w:formProt w:val="false"/>
          <w:textDirection w:val="lrTb"/>
          <w:docGrid w:type="default" w:linePitch="100" w:charSpace="0"/>
        </w:sectPr>
      </w:pPr>
    </w:p>
    <w:p>
      <w:pPr>
        <w:pStyle w:val="Normal"/>
        <w:rPr/>
      </w:pPr>
      <w:r>
        <w:rPr/>
      </w:r>
    </w:p>
    <w:p>
      <w:pPr>
        <w:sectPr>
          <w:type w:val="continuous"/>
          <w:pgSz w:w="11906" w:h="16838"/>
          <w:pgMar w:left="1800" w:right="1325" w:gutter="0" w:header="720" w:top="1440" w:footer="720" w:bottom="1440"/>
          <w:formProt w:val="false"/>
          <w:textDirection w:val="lrTb"/>
          <w:docGrid w:type="default" w:linePitch="100" w:charSpace="0"/>
        </w:sectPr>
      </w:pPr>
    </w:p>
    <w:p>
      <w:pPr>
        <w:pStyle w:val="Heading1"/>
        <w:spacing w:before="0" w:after="0"/>
        <w:ind w:hanging="431" w:left="431"/>
        <w:rPr/>
      </w:pPr>
      <w:bookmarkStart w:id="0" w:name="_Toc256000000"/>
      <w:r>
        <w:rPr/>
        <w:t>Identifikační údaje o škole</w:t>
      </w:r>
      <w:bookmarkEnd w:id="0"/>
      <w:r>
        <w:rPr/>
        <w:t> </w:t>
      </w:r>
    </w:p>
    <w:p>
      <w:pPr>
        <w:pStyle w:val="Heading2"/>
        <w:spacing w:before="299" w:after="299"/>
        <w:ind w:hanging="578" w:left="578"/>
        <w:rPr/>
      </w:pPr>
      <w:bookmarkStart w:id="1" w:name="_Toc256000001"/>
      <w:r>
        <w:rPr/>
        <w:t>Název ŠVP</w:t>
      </w:r>
      <w:bookmarkEnd w:id="1"/>
      <w:r>
        <w:rPr/>
        <w:t> </w:t>
      </w:r>
    </w:p>
    <w:p>
      <w:pPr>
        <w:pStyle w:val="Normal"/>
        <w:spacing w:before="240" w:after="240"/>
        <w:rPr/>
      </w:pPr>
      <w:r>
        <w:rPr>
          <w:b/>
          <w:bCs/>
        </w:rPr>
        <w:t>NÁZEV ŠVP: Školní vzdělávací program pro předškolní vzdělávání </w:t>
      </w:r>
      <w:r>
        <w:rPr/>
        <w:br/>
      </w:r>
      <w:r>
        <w:rPr>
          <w:b/>
          <w:bCs/>
        </w:rPr>
        <w:t>MOTIVAČNÍ NÁZEV: </w:t>
      </w:r>
      <w:r>
        <w:rPr/>
        <w:t> Objevujeme svět s Májou a Ferdou </w:t>
      </w:r>
    </w:p>
    <w:p>
      <w:pPr>
        <w:pStyle w:val="Heading2"/>
        <w:spacing w:before="299" w:after="299"/>
        <w:ind w:hanging="578" w:left="578"/>
        <w:rPr/>
      </w:pPr>
      <w:bookmarkStart w:id="2" w:name="_Toc256000002"/>
      <w:r>
        <w:rPr/>
        <w:t>Údaje o škole</w:t>
      </w:r>
      <w:bookmarkEnd w:id="2"/>
      <w:r>
        <w:rPr/>
        <w:t> </w:t>
      </w:r>
    </w:p>
    <w:p>
      <w:pPr>
        <w:pStyle w:val="Normal"/>
        <w:rPr/>
      </w:pPr>
      <w:r>
        <w:rPr>
          <w:b/>
          <w:bCs/>
        </w:rPr>
        <w:t>NÁZEV ŠKOLY:  </w:t>
      </w:r>
      <w:r>
        <w:rPr/>
        <w:t>Mateřská škola, Hostěnice,okr. Brno-venkov, příspěvková organizace </w:t>
        <w:br/>
      </w:r>
      <w:r>
        <w:rPr>
          <w:b/>
          <w:bCs/>
        </w:rPr>
        <w:t>SÍDLO ŠKOLY:   </w:t>
      </w:r>
      <w:r>
        <w:rPr/>
        <w:t>Hostěnice 95, Mokrá, 66404 </w:t>
        <w:br/>
      </w:r>
      <w:r>
        <w:rPr>
          <w:b/>
          <w:bCs/>
        </w:rPr>
        <w:t>KONTAKTY:   </w:t>
      </w:r>
    </w:p>
    <w:p>
      <w:pPr>
        <w:pStyle w:val="Normal"/>
        <w:spacing w:before="240" w:after="240"/>
        <w:rPr/>
      </w:pPr>
      <w:r>
        <w:rPr/>
        <w:br/>
      </w:r>
      <w:r>
        <w:rPr>
          <w:b/>
          <w:bCs/>
        </w:rPr>
        <w:t>   e-mail: </w:t>
      </w:r>
      <w:r>
        <w:rPr/>
        <w:t xml:space="preserve"> ms@hostenice.cz </w:t>
        <w:br/>
      </w:r>
      <w:r>
        <w:rPr>
          <w:b/>
          <w:bCs/>
        </w:rPr>
        <w:t>   web:  </w:t>
      </w:r>
      <w:r>
        <w:rPr/>
        <w:t>mshostenice.webnode.cz </w:t>
      </w:r>
    </w:p>
    <w:p>
      <w:pPr>
        <w:pStyle w:val="Normal"/>
        <w:rPr/>
      </w:pPr>
      <w:r>
        <w:rPr/>
        <w:br/>
      </w:r>
      <w:r>
        <w:rPr>
          <w:b/>
          <w:bCs/>
        </w:rPr>
        <w:t>REDIZO:  </w:t>
      </w:r>
      <w:r>
        <w:rPr/>
        <w:t>600109402 </w:t>
        <w:br/>
      </w:r>
      <w:r>
        <w:rPr>
          <w:b/>
          <w:bCs/>
        </w:rPr>
        <w:t>IČO: </w:t>
      </w:r>
      <w:r>
        <w:rPr/>
        <w:t xml:space="preserve"> 71005862 </w:t>
        <w:br/>
      </w:r>
      <w:r>
        <w:rPr>
          <w:b/>
          <w:bCs/>
        </w:rPr>
        <w:t>IZO:  </w:t>
      </w:r>
      <w:r>
        <w:rPr/>
        <w:t>107603292 </w:t>
        <w:br/>
      </w:r>
      <w:r>
        <w:rPr>
          <w:b/>
          <w:bCs/>
        </w:rPr>
        <w:t>STATUTARNÍ ZÁSTUPCE ŠKOLY: </w:t>
      </w:r>
      <w:r>
        <w:rPr/>
        <w:t xml:space="preserve"> Mgr. Dana Kousalová </w:t>
        <w:br/>
      </w:r>
      <w:r>
        <w:rPr>
          <w:b/>
          <w:bCs/>
        </w:rPr>
        <w:t>ZPRACOVATELÉ PROGRAMU:   </w:t>
      </w:r>
      <w:r>
        <w:rPr/>
        <w:t>Mgr. Dana Kousalová, Hana Gloserová, DiS.  </w:t>
      </w:r>
    </w:p>
    <w:p>
      <w:pPr>
        <w:pStyle w:val="Heading2"/>
        <w:spacing w:before="299" w:after="299"/>
        <w:ind w:hanging="578" w:left="578"/>
        <w:rPr/>
      </w:pPr>
      <w:bookmarkStart w:id="3" w:name="_Toc256000003"/>
      <w:r>
        <w:rPr/>
        <w:t>Zřizovatel</w:t>
      </w:r>
      <w:bookmarkEnd w:id="3"/>
      <w:r>
        <w:rPr/>
        <w:t> </w:t>
      </w:r>
    </w:p>
    <w:p>
      <w:pPr>
        <w:pStyle w:val="Normal"/>
        <w:rPr/>
      </w:pPr>
      <w:r>
        <w:rPr>
          <w:b/>
          <w:bCs/>
        </w:rPr>
        <w:t>NÁZEV ZŘIZOVATELE:   </w:t>
      </w:r>
      <w:r>
        <w:rPr/>
        <w:t>Obec Hostěnice </w:t>
        <w:br/>
      </w:r>
      <w:r>
        <w:rPr>
          <w:b/>
          <w:bCs/>
        </w:rPr>
        <w:t>ADRESA ZŘIZOVATELE:   </w:t>
      </w:r>
    </w:p>
    <w:p>
      <w:pPr>
        <w:pStyle w:val="Normal"/>
        <w:spacing w:before="240" w:after="240"/>
        <w:rPr/>
      </w:pPr>
      <w:r>
        <w:rPr/>
        <w:t>Hostěnice 57, 664 04, Mokrá  </w:t>
      </w:r>
    </w:p>
    <w:p>
      <w:pPr>
        <w:pStyle w:val="Normal"/>
        <w:rPr/>
      </w:pPr>
      <w:r>
        <w:rPr/>
        <w:br/>
      </w:r>
      <w:r>
        <w:rPr>
          <w:b/>
          <w:bCs/>
        </w:rPr>
        <w:t>KONTAKTY:   </w:t>
      </w:r>
    </w:p>
    <w:p>
      <w:pPr>
        <w:pStyle w:val="Normal"/>
        <w:spacing w:before="240" w:after="240"/>
        <w:rPr/>
      </w:pPr>
      <w:r>
        <w:rPr/>
        <w:t>Telefon: 544 250 763 </w:t>
      </w:r>
    </w:p>
    <w:p>
      <w:pPr>
        <w:pStyle w:val="Heading2"/>
        <w:spacing w:before="299" w:after="299"/>
        <w:ind w:hanging="578" w:left="578"/>
        <w:rPr/>
      </w:pPr>
      <w:bookmarkStart w:id="4" w:name="_Toc256000004"/>
      <w:r>
        <w:rPr/>
        <w:t>Platnost dokumentu</w:t>
      </w:r>
      <w:bookmarkEnd w:id="4"/>
      <w:r>
        <w:rPr/>
        <w:t> </w:t>
      </w:r>
    </w:p>
    <w:p>
      <w:pPr>
        <w:sectPr>
          <w:headerReference w:type="default" r:id="rId8"/>
          <w:footerReference w:type="default" r:id="rId9"/>
          <w:type w:val="nextPage"/>
          <w:pgSz w:w="11906" w:h="16838"/>
          <w:pgMar w:left="1800" w:right="1325" w:gutter="0" w:header="720" w:top="1440" w:footer="720" w:bottom="1440"/>
          <w:pgNumType w:fmt="decimal"/>
          <w:formProt w:val="false"/>
          <w:textDirection w:val="lrTb"/>
          <w:docGrid w:type="default" w:linePitch="100" w:charSpace="0"/>
        </w:sectPr>
        <w:pStyle w:val="Normal"/>
        <w:rPr/>
      </w:pPr>
      <w:r>
        <w:rPr>
          <w:b/>
          <w:bCs/>
        </w:rPr>
        <w:t>PLATNOST DOKUMENTU:  </w:t>
      </w:r>
      <w:r>
        <w:rPr/>
        <w:t>od 1. 9. 2023 </w:t>
        <w:br/>
      </w:r>
      <w:r>
        <w:rPr>
          <w:b/>
          <w:bCs/>
        </w:rPr>
        <w:t>VERZE ŠVP: </w:t>
      </w:r>
      <w:r>
        <w:rPr/>
        <w:t xml:space="preserve"> 2 </w:t>
        <w:br/>
      </w:r>
      <w:r>
        <w:rPr>
          <w:b/>
          <w:bCs/>
        </w:rPr>
        <w:t>ČÍSLO JEDNACÍ: </w:t>
      </w:r>
      <w:r>
        <w:rPr/>
        <w:t xml:space="preserve"> MSH 19/2023 </w:t>
        <w:br/>
      </w:r>
      <w:r>
        <w:rPr>
          <w:b/>
          <w:bCs/>
        </w:rPr>
        <w:t>DATUM PROJEDNÁNÍ V PEDAGOGICKÉ RADĚ:  </w:t>
      </w:r>
      <w:r>
        <w:rPr/>
        <w:t>29. 8. 2023 </w:t>
        <w:br/>
      </w:r>
      <w:r>
        <w:rPr>
          <w:b/>
          <w:bCs/>
        </w:rPr>
        <w:t>DATUM PROJEDNÁNÍ SE ZŘIZOVATELEM:  </w:t>
      </w:r>
      <w:r>
        <w:rPr/>
        <w:t>31. 8. 2023 </w:t>
        <w:br/>
        <w:br/>
        <w:br/>
        <w:br/>
        <w:br/>
        <w:br/>
        <w:t>................................................                                             ................................................. </w:t>
        <w:br/>
        <w:t>            ředitel školy                                                                                  Razítko školy  </w:t>
        <w:br/>
        <w:t>      Mgr. Dana Kousalová </w:t>
        <w:br/>
        <w:t xml:space="preserve">  </w:t>
      </w:r>
    </w:p>
    <w:p>
      <w:pPr>
        <w:pStyle w:val="Heading1"/>
        <w:spacing w:before="0" w:after="0"/>
        <w:ind w:hanging="431" w:left="431"/>
        <w:rPr/>
      </w:pPr>
      <w:bookmarkStart w:id="5" w:name="_Toc256000006"/>
      <w:r>
        <w:rPr/>
        <w:t>Obecná charakteristika školy</w:t>
      </w:r>
      <w:bookmarkEnd w:id="5"/>
      <w:r>
        <w:rPr/>
        <w:t> </w:t>
      </w:r>
    </w:p>
    <w:p>
      <w:pPr>
        <w:pStyle w:val="Heading2"/>
        <w:spacing w:before="299" w:after="299"/>
        <w:ind w:hanging="578" w:left="578"/>
        <w:rPr/>
      </w:pPr>
      <w:bookmarkStart w:id="6" w:name="_Toc256000007"/>
      <w:r>
        <w:rPr/>
        <w:t>Velikost školy</w:t>
      </w:r>
      <w:bookmarkEnd w:id="6"/>
      <w:r>
        <w:rPr/>
        <w:t> </w:t>
      </w:r>
    </w:p>
    <w:p>
      <w:pPr>
        <w:pStyle w:val="Normal"/>
        <w:spacing w:before="240" w:after="240"/>
        <w:rPr/>
      </w:pPr>
      <w:r>
        <w:rPr>
          <w:b/>
          <w:bCs/>
        </w:rPr>
        <w:t>Kapacita školy:   </w:t>
      </w:r>
      <w:r>
        <w:rPr/>
        <w:t>32 </w:t>
        <w:br/>
      </w:r>
      <w:r>
        <w:rPr>
          <w:b/>
          <w:bCs/>
        </w:rPr>
        <w:t>Počet tříd:   </w:t>
      </w:r>
      <w:r>
        <w:rPr/>
        <w:t>2 </w:t>
        <w:br/>
      </w:r>
      <w:r>
        <w:rPr>
          <w:b/>
          <w:bCs/>
        </w:rPr>
        <w:t>Počet pracovníků:   </w:t>
      </w:r>
      <w:r>
        <w:rPr/>
        <w:t>4 </w:t>
        <w:br/>
        <w:t>Stálý počet pracovníků doplňován o asistentku pedagoga, popř. o další pracovníky (např. chůvy, školní asistenty, apod.). </w:t>
      </w:r>
    </w:p>
    <w:p>
      <w:pPr>
        <w:pStyle w:val="Heading2"/>
        <w:spacing w:before="299" w:after="299"/>
        <w:ind w:hanging="578" w:left="578"/>
        <w:rPr/>
      </w:pPr>
      <w:bookmarkStart w:id="7" w:name="_Toc256000008"/>
      <w:r>
        <w:rPr/>
        <w:t>Lokalita školy</w:t>
      </w:r>
      <w:bookmarkEnd w:id="7"/>
      <w:r>
        <w:rPr/>
        <w:t> </w:t>
      </w:r>
    </w:p>
    <w:p>
      <w:pPr>
        <w:pStyle w:val="Normal"/>
        <w:rPr/>
      </w:pPr>
      <w:r>
        <w:rPr>
          <w:b/>
          <w:bCs/>
        </w:rPr>
        <w:t>Lokalita školy: </w:t>
      </w:r>
      <w:r>
        <w:rPr/>
        <w:t xml:space="preserve">  </w:t>
      </w:r>
    </w:p>
    <w:p>
      <w:pPr>
        <w:pStyle w:val="Normal"/>
        <w:spacing w:before="240" w:after="240"/>
        <w:rPr/>
      </w:pPr>
      <w:r>
        <w:rPr/>
        <w:t>Charakter školy vyplývá z umístění ve vesnici obklopené lesy chráněné krajinné oblasti Říčky a Moravského krasu. </w:t>
      </w:r>
    </w:p>
    <w:p>
      <w:pPr>
        <w:pStyle w:val="Normal"/>
        <w:rPr/>
      </w:pPr>
      <w:r>
        <w:rPr/>
      </w:r>
    </w:p>
    <w:p>
      <w:pPr>
        <w:pStyle w:val="Heading2"/>
        <w:spacing w:before="299" w:after="299"/>
        <w:ind w:hanging="578" w:left="578"/>
        <w:rPr/>
      </w:pPr>
      <w:bookmarkStart w:id="8" w:name="_Toc256000009"/>
      <w:r>
        <w:rPr/>
        <w:t>Charakter a specifika budovy</w:t>
      </w:r>
      <w:bookmarkEnd w:id="8"/>
      <w:r>
        <w:rPr/>
        <w:t> </w:t>
      </w:r>
    </w:p>
    <w:p>
      <w:pPr>
        <w:pStyle w:val="Normal"/>
        <w:rPr/>
      </w:pPr>
      <w:r>
        <w:rPr>
          <w:b/>
          <w:bCs/>
        </w:rPr>
        <w:t>Charakter a specifika budovy/budov:   </w:t>
      </w:r>
    </w:p>
    <w:p>
      <w:pPr>
        <w:pStyle w:val="Normal"/>
        <w:spacing w:before="240" w:after="240"/>
        <w:rPr/>
      </w:pPr>
      <w:r>
        <w:rPr/>
        <w:t>MŠ Hostěnice se nachází v budově bývalé základní školy, která byla otevřena v roce 1899 a výuka zde probíhala do roku 1976, potom přešla do ZŠ Pozořice. V roce 1977 byly prostory upraveny a zařízeny pro mateřskou školu.  </w:t>
      </w:r>
    </w:p>
    <w:p>
      <w:pPr>
        <w:pStyle w:val="Normal"/>
        <w:spacing w:before="240" w:after="240"/>
        <w:rPr/>
      </w:pPr>
      <w:r>
        <w:rPr/>
        <w:t>MŠ má dvě heterogenní třídy s celodenním provozem od 6,45 hod do 16,45 hod. </w:t>
      </w:r>
    </w:p>
    <w:p>
      <w:pPr>
        <w:sectPr>
          <w:headerReference w:type="default" r:id="rId10"/>
          <w:headerReference w:type="first" r:id="rId11"/>
          <w:footerReference w:type="default" r:id="rId12"/>
          <w:footerReference w:type="first" r:id="rId13"/>
          <w:type w:val="nextPage"/>
          <w:pgSz w:w="11906" w:h="16838"/>
          <w:pgMar w:left="1800" w:right="1325" w:gutter="0" w:header="720" w:top="1440" w:footer="720" w:bottom="1440"/>
          <w:pgNumType w:fmt="decimal"/>
          <w:formProt w:val="false"/>
          <w:textDirection w:val="lrTb"/>
          <w:docGrid w:type="default" w:linePitch="100" w:charSpace="0"/>
        </w:sectPr>
        <w:pStyle w:val="Normal"/>
        <w:spacing w:before="240" w:after="240"/>
        <w:rPr/>
      </w:pPr>
      <w:r>
        <w:rPr/>
        <w:t>V přízemí budovy se nachází obecní tělocvična, kterou MŠ v případě potřeby využívá. </w:t>
      </w:r>
    </w:p>
    <w:p>
      <w:pPr>
        <w:pStyle w:val="Heading1"/>
        <w:spacing w:before="322" w:after="0"/>
        <w:ind w:hanging="431" w:left="431"/>
        <w:rPr/>
      </w:pPr>
      <w:bookmarkStart w:id="9" w:name="_Toc256000010"/>
      <w:r>
        <w:rPr/>
        <w:t>Podmínky vzdělávání</w:t>
      </w:r>
      <w:bookmarkEnd w:id="9"/>
      <w:r>
        <w:rPr/>
        <w:t> </w:t>
      </w:r>
    </w:p>
    <w:p>
      <w:pPr>
        <w:pStyle w:val="Heading2"/>
        <w:spacing w:before="299" w:after="299"/>
        <w:ind w:hanging="578" w:left="578"/>
        <w:rPr/>
      </w:pPr>
      <w:bookmarkStart w:id="10" w:name="_Toc256000011"/>
      <w:r>
        <w:rPr/>
        <w:t>Věcné podmínky</w:t>
      </w:r>
      <w:bookmarkEnd w:id="10"/>
      <w:r>
        <w:rPr/>
        <w:t> </w:t>
      </w:r>
    </w:p>
    <w:p>
      <w:pPr>
        <w:pStyle w:val="Normal"/>
        <w:spacing w:before="240" w:after="240"/>
        <w:rPr/>
      </w:pPr>
      <w:r>
        <w:rPr/>
        <w:t>Rozměry tříd odpovídají počtu 16 dětí podle platných hygienických předpisů a jsou přizpůsobeny skupinovým i individuálním činnostem. Veškeré vybavení mateřské školy je přizpůsobeno antropometrickým požadavkům, nábytek byl zakoupen v roce 2012, postupně doplňován, v roce 2022 byly zakoupeny nové stolky a židličky, v roce 2023 došlo k výměně lehátek za plastová. Vybavení hračkami, pomůckami, náčiním, materiály a doplňky odpovídá počtu dětí i jejich věku.  </w:t>
      </w:r>
    </w:p>
    <w:p>
      <w:pPr>
        <w:pStyle w:val="Normal"/>
        <w:spacing w:before="240" w:after="240"/>
        <w:rPr/>
      </w:pPr>
      <w:r>
        <w:rPr/>
        <w:t>Od září 2015 využíváme prvky programu Začít spolu, proto jsou prostory tříd rozčleněny do  </w:t>
      </w:r>
      <w:r>
        <w:rPr>
          <w:b/>
          <w:bCs/>
        </w:rPr>
        <w:t>Center aktivit </w:t>
      </w:r>
      <w:r>
        <w:rPr/>
        <w:t>. V každé třídě je jedenáct Center aktivit (CA). Uspořádání nábytku a pomůcek je takové, aby napomáhalo individuálnímu rozvoji. Centra aktivit máme funkčně a esteticky vybavena, vhodně rozmístěna a ohraničena tak, aby zde děti měly soukromí pro práci. Jsou jasně označena obrazem a nápisem. Takové prostředí děti motivuje a podněcuje k tomu, aby si hrály a pracovaly podle vlastních představ a výběru. Děti se učí tím, že si hrají a pracují s různými předměty a materiály, které jsou k dispozici v každém z center. Učí se také navzájem od sebe, nápodobou a pozorováním.   </w:t>
      </w:r>
    </w:p>
    <w:p>
      <w:pPr>
        <w:pStyle w:val="Normal"/>
        <w:numPr>
          <w:ilvl w:val="0"/>
          <w:numId w:val="2"/>
        </w:numPr>
        <w:spacing w:before="240" w:after="0"/>
        <w:rPr/>
      </w:pPr>
      <w:r>
        <w:rPr>
          <w:b/>
          <w:bCs/>
        </w:rPr>
        <w:t>Ateliér  </w:t>
      </w:r>
      <w:r>
        <w:rPr/>
        <w:t>- zde mají děti dost volnosti a příležitost, aby mohly experimentovat a vyzkoušet si nápady, rozvinout v sobě vlohy, které v dospělosti uplatní ve svých profesích </w:t>
      </w:r>
      <w:r>
        <w:rPr>
          <w:b/>
          <w:bCs/>
        </w:rPr>
        <w:t>.  </w:t>
      </w:r>
      <w:r>
        <w:rPr/>
        <w:t>Centrum Ateliér je dostatečně velké, pomůcky jsou dětem dostupné, na policích je veškerý výtvarný materiál  </w:t>
      </w:r>
      <w:r>
        <w:rPr>
          <w:b/>
          <w:bCs/>
        </w:rPr>
        <w:t>.  </w:t>
      </w:r>
      <w:r>
        <w:rPr/>
        <w:t>Děti zde modelují, malují, kreslí, vytváří koláže, prostorové výrobky z papíru, textilu a jiných materiálů, vystřihují, batikují, kašírují, objevují nové techniky. Veškeré výrobky dětí zdobí interiér budovy.  </w:t>
      </w:r>
    </w:p>
    <w:p>
      <w:pPr>
        <w:pStyle w:val="Normal"/>
        <w:numPr>
          <w:ilvl w:val="0"/>
          <w:numId w:val="2"/>
        </w:numPr>
        <w:rPr/>
      </w:pPr>
      <w:r>
        <w:rPr>
          <w:b/>
          <w:bCs/>
        </w:rPr>
        <w:t>Domácnost  </w:t>
      </w:r>
      <w:r>
        <w:rPr/>
        <w:t>- pracovní koutek vybavený kuchyňkou, stolkem s židličkami (velikost pro děti i panenky) a kočárky, kde si děti mohou hrát na domácnost, připravovat jídlo a starat se o panenky, oblékat je, vozit v kočárku, napodobovat role v rodině.  </w:t>
      </w:r>
    </w:p>
    <w:p>
      <w:pPr>
        <w:pStyle w:val="Normal"/>
        <w:numPr>
          <w:ilvl w:val="0"/>
          <w:numId w:val="2"/>
        </w:numPr>
        <w:rPr/>
      </w:pPr>
      <w:r>
        <w:rPr>
          <w:b/>
          <w:bCs/>
        </w:rPr>
        <w:t>Dílna  </w:t>
      </w:r>
      <w:r>
        <w:rPr/>
        <w:t>- pracovně-technicky zaměřené centrum aktivit, kde mají děti možnost pracovat s různými materiály a nástroji, které obyčejně vidí v dílnách svých rodičů. Základním vybavením tohoto centra je ponk. Děti zde zatloukají hřebíky, řežou kousky z prkýnek, vrtají, zhotovují různé předměty, montují stavebnice, měří pomocí metrů a pravítek, využívají plastové láhve, opravují poškozené hračky.  </w:t>
      </w:r>
    </w:p>
    <w:p>
      <w:pPr>
        <w:pStyle w:val="Normal"/>
        <w:numPr>
          <w:ilvl w:val="0"/>
          <w:numId w:val="2"/>
        </w:numPr>
        <w:rPr/>
      </w:pPr>
      <w:r>
        <w:rPr>
          <w:b/>
          <w:bCs/>
        </w:rPr>
        <w:t>Knihy a písmena  </w:t>
      </w:r>
      <w:r>
        <w:rPr/>
        <w:t>- slouží k podchycení zájmu o literaturu, čtení a psaní. Toto centrum je místo, kde děti vnímají mluvenou a psanou podobu písma a číslic. Manipulací s knihou i písmeny se pomalu seznamují a postupně rozpoznávají na základě tvaru jednotlivá písmena. Děti mají velký výběr knih, encyklopedií, časopisů, které jsou jim volně přístupné. K dispozici mají i plastová a magnetická písmena,číslice a podložky, pěnové puzzle s písmeny, počítadla.  </w:t>
      </w:r>
    </w:p>
    <w:p>
      <w:pPr>
        <w:pStyle w:val="Normal"/>
        <w:numPr>
          <w:ilvl w:val="0"/>
          <w:numId w:val="2"/>
        </w:numPr>
        <w:rPr/>
      </w:pPr>
      <w:r>
        <w:rPr>
          <w:b/>
          <w:bCs/>
        </w:rPr>
        <w:t>Dramatika  </w:t>
      </w:r>
      <w:r>
        <w:rPr/>
        <w:t>- zde probíhají především napodobivé a námětové hry, děti si hrají, napodobují dospělé a učí se různým sociálním rolím. Jsou zde k dispozici různé převleky, oděvy, doplňky – kabelky, klobouky, závoje, šátky. Důležitými pomůckami jsou loutky, maňásci, kulisy. Centrum bylo vybaveno ve spolupráci s rodiči (kostýmy policie a hasičů, sukýnky a čelenky). </w:t>
      </w:r>
    </w:p>
    <w:p>
      <w:pPr>
        <w:pStyle w:val="Normal"/>
        <w:numPr>
          <w:ilvl w:val="0"/>
          <w:numId w:val="2"/>
        </w:numPr>
        <w:rPr/>
      </w:pPr>
      <w:r>
        <w:rPr>
          <w:b/>
          <w:bCs/>
        </w:rPr>
        <w:t>Hudba - </w:t>
      </w:r>
      <w:r>
        <w:rPr/>
        <w:t> je univerzálním prostředkem komunikace, zábavy, poučení i uklidnění dětí. Je jedním z nejbohatších zdrojů pro učení dětí předškolního věku a nedílnou součástí každodenního programu. Centrum je situováno ke klavíru. Děti zde mají k dispozici rytmicko-melodické nástroje, chrastítka i nástroje, které si vyrobily samy.  </w:t>
      </w:r>
    </w:p>
    <w:p>
      <w:pPr>
        <w:pStyle w:val="Normal"/>
        <w:numPr>
          <w:ilvl w:val="0"/>
          <w:numId w:val="2"/>
        </w:numPr>
        <w:rPr/>
      </w:pPr>
      <w:r>
        <w:rPr>
          <w:b/>
          <w:bCs/>
        </w:rPr>
        <w:t>Pokusy a objevy -  </w:t>
      </w:r>
      <w:r>
        <w:rPr/>
        <w:t>toto centrum slouží k různým pozorováním, pokusům, k pěstování rostlin a k objevování. Koutek je vybaven různými přírodninami - kamínky, mušle, kousky kůry, mech apod. a také pomůckami potřebnými k pokusům jako jsou lupy, váhy, zkumavky, písek, různé nádobky. Děti mohou pozorovat hmyz, rostliny, strukturu přírodnin, pozorovat vypařování vody, míchat barvy, pozorovat, jak klíčí luštěniny. Na vybavení centra se podílejí i děti – přírodniny přinášené z procházek a výletů.  </w:t>
      </w:r>
    </w:p>
    <w:p>
      <w:pPr>
        <w:pStyle w:val="Normal"/>
        <w:numPr>
          <w:ilvl w:val="0"/>
          <w:numId w:val="2"/>
        </w:numPr>
        <w:rPr/>
      </w:pPr>
      <w:r>
        <w:rPr>
          <w:b/>
          <w:bCs/>
        </w:rPr>
        <w:t>Kostky  </w:t>
      </w:r>
      <w:r>
        <w:rPr/>
        <w:t>- toto centrum je dostatečně velké, aby děti mohly vytvářet stavby z různých stavebnic a kostek (lego, seva, cheva, plastové i dřevěné kostky, podlahová puzzle, auta a jiné dopravní prostředky, koleje, PET víčka, aj.). Pomůcky máme v otevřených policích a v kontejnerech. Z kostek si děti mohou stavět, cokoliv chtějí, nelze stavět ani „chybně“, ani správně. Protože neexistuje jediný správný vzor. Děti mají volnost ve výběru, prostor pro vlastní vkus, sebevyjádření a rozvoj představivosti, fantazie a tvořivosti. Procvičují si zde hrubou a jemnou motoriku, zvyšují sebedůvěru, rozvíjejí sociální a jazykové dovednosti, získávají cit pro geometrické obrazce.  </w:t>
      </w:r>
    </w:p>
    <w:p>
      <w:pPr>
        <w:pStyle w:val="Normal"/>
        <w:numPr>
          <w:ilvl w:val="0"/>
          <w:numId w:val="2"/>
        </w:numPr>
        <w:rPr/>
      </w:pPr>
      <w:r>
        <w:rPr>
          <w:b/>
          <w:bCs/>
        </w:rPr>
        <w:t>Manipulační a stolní hry  </w:t>
      </w:r>
      <w:r>
        <w:rPr/>
        <w:t>- centrum je zaměřené především na rozvoj jemné motoriky, fantazie, trpělivosti, vůle pro dokončení díla, poznávání barev, geometrických tvarů, zvířat, rostlin, druhů práce. Toto centrum je situované do klidnější části třídy, kde je stůl, židle, otevřené police. Děti zde mají k dispozici různá pexesa, domina, puzzle, skládačky, korálky, mozaiky, magnetické tabulky, stavebnice a společenské hry.  </w:t>
      </w:r>
    </w:p>
    <w:p>
      <w:pPr>
        <w:pStyle w:val="Normal"/>
        <w:numPr>
          <w:ilvl w:val="0"/>
          <w:numId w:val="2"/>
        </w:numPr>
        <w:rPr/>
      </w:pPr>
      <w:r>
        <w:rPr>
          <w:b/>
          <w:bCs/>
        </w:rPr>
        <w:t>Písek a voda  </w:t>
      </w:r>
      <w:r>
        <w:rPr/>
        <w:t>- v tomto centru máme umístěnou průhlednou krabici s kinetickým pískem, ze kterého děti mohou tvořit různé stavby a zároveň pozorovat jejich proměny, psát do písku, dělat bábovky a jiné. K práci s vodou je zde plastová nádoba, dále je centrum vybaveno kbelíky, lopatkami, formičkami, odměrkami, síty, plovoucími hračkami. Děti mohou přelévat vodu, hrát si s plovoucími hračkami a využívat pomůcky z jiných center. </w:t>
      </w:r>
    </w:p>
    <w:p>
      <w:pPr>
        <w:pStyle w:val="Normal"/>
        <w:numPr>
          <w:ilvl w:val="0"/>
          <w:numId w:val="2"/>
        </w:numPr>
        <w:spacing w:before="0" w:after="240"/>
        <w:rPr/>
      </w:pPr>
      <w:r>
        <w:rPr>
          <w:b/>
          <w:bCs/>
        </w:rPr>
        <w:t>Pohyb  </w:t>
      </w:r>
      <w:r>
        <w:rPr/>
        <w:t>- centrum slouží k rozvoji a procvičování hrubé motoriky, je vybaveno rozličným tělocvičným náčiním a nářadím, obrázkovými návody. </w:t>
      </w:r>
    </w:p>
    <w:p>
      <w:pPr>
        <w:pStyle w:val="Normal"/>
        <w:spacing w:before="240" w:after="240"/>
        <w:rPr/>
      </w:pPr>
      <w:r>
        <w:rPr/>
        <w:t>V roce 2014 byla opravena fasáda budovy MŠ. V létě 2015 proběhla rekonstrukce přední části školní zahrady. Byly zde umístěny nové herní prvky, které vyhovují bezpečnostním předpisům – lanová pyramida, hrazda, palisády, klády s lanem, houpačka. Na původní pískoviště byla zakoupena nová plachta, která slouží zároveň jako stínění. Rekonstrukcí prošly i hospodářské budovy za školou, kde byla zřízena venkovní učebna využívaná především na jaře a v létě v horkém počasí. Na podzim 2016 byly vysázeny vzrostlé stromy a popínavé rostliny na školní zahradu k zastínění hrací plochy. Na podzim roku 2018 byla v kamínkové části hřiště instalována nová herní sestava a ve spolupráci s rodiči byly upraveny travnaté plochy a natřeny všechny dřevěné prvky.  V roce 2019 byl v zadní části zahrady vybudován dřevěný domek na nářadí a hračky, ve všech prostorách MŠ proběhla rekonstrukce elektroinstalace a osvětlení tak, aby vyhovovalo hygienickým normám.V roce 2020 proběhla rekonstrukce zadní části zahrady, vybudování nových záhonů k pěstitelským experimentům, nový herní prvek a úprava plochy k míčovým hrám. V zadním traktu je umístěn kompostér a z původní studny byla vytvořena jímka na dešťovou vodu s čerpadlem. </w:t>
      </w:r>
    </w:p>
    <w:p>
      <w:pPr>
        <w:pStyle w:val="Normal"/>
        <w:spacing w:before="240" w:after="240"/>
        <w:rPr/>
      </w:pPr>
      <w:r>
        <w:rPr/>
        <w:t>Ve spolupráci se zřizovatelem je naplánována rekonstrukce koupelen a chodby v patře, výměna kování oken kvůli lepší ventilaci. </w:t>
      </w:r>
    </w:p>
    <w:p>
      <w:pPr>
        <w:pStyle w:val="Normal"/>
        <w:rPr/>
      </w:pPr>
      <w:r>
        <w:rPr/>
      </w:r>
    </w:p>
    <w:p>
      <w:pPr>
        <w:pStyle w:val="Heading2"/>
        <w:spacing w:before="299" w:after="299"/>
        <w:ind w:hanging="578" w:left="578"/>
        <w:rPr/>
      </w:pPr>
      <w:bookmarkStart w:id="11" w:name="_Toc256000012"/>
      <w:r>
        <w:rPr/>
        <w:t>Životospráva</w:t>
      </w:r>
      <w:bookmarkEnd w:id="11"/>
      <w:r>
        <w:rPr/>
        <w:t> </w:t>
      </w:r>
    </w:p>
    <w:p>
      <w:pPr>
        <w:pStyle w:val="Normal"/>
        <w:spacing w:before="240" w:after="240"/>
        <w:rPr/>
      </w:pPr>
      <w:r>
        <w:rPr/>
        <w:t>Dětem je poskytována plnohodnotná a vyvážená strava, je zachována vhodná skladba jídelníčku, zdravá technologie přípravy pokrmů. Děti mají k dispozici ve třídě i při pobytu venku dostatek tekutin (neslazený ovocný nebo bylinný čaj a vodu). Děti si samy určují, kolik jídla sní. Mezi jednotlivými podávanými pokrmy jsou dodržovány doporučené intervaly. Ve spolupráci s vedoucí Školní jídelny zajišťujeme dietní stravování dle doporučení ošetřujícího lékaře. Strava je dovážena smluvním dovozcem ze Školní jídelny při ZŠ Mokrá, je vydávána v naší výdejně stravy.  </w:t>
      </w:r>
    </w:p>
    <w:p>
      <w:pPr>
        <w:pStyle w:val="Normal"/>
        <w:spacing w:before="240" w:after="240"/>
        <w:rPr/>
      </w:pPr>
      <w:r>
        <w:rPr/>
        <w:t>Náš denní rytmus a řád je flexibilní, dá se přizpůsobit potřebám a aktuální situaci.  </w:t>
      </w:r>
    </w:p>
    <w:p>
      <w:pPr>
        <w:pStyle w:val="Normal"/>
        <w:spacing w:before="240" w:after="240"/>
        <w:rPr/>
      </w:pPr>
      <w:r>
        <w:rPr/>
        <w:t>Děti jsou denně venku. V příštím období se zaměříme na dodržování dostatečně dlouhé doby pobytu venku, který probíhá za každého počasí, s výjimkou nepříznivých rozptylových podmínek a silného mrazu. Délku, případně časové zařazení pobytu lze upravit s ohledem na venkovní teploty. Jedenkrát týdně je dopolední pobyt venku prodloužen, chodíme na pravidelné výlety do okolí školy. Odpoledne probíhá pobyt venku podle pobytu dětí v MŠ a aktuálního počasí. V horkém počasí lze využít i venkovní učebnu v areálu hřiště. Děti mají dostatek volného pohybu nejen na zahradě, ale i v interiéru (třída, tělocvična).  </w:t>
      </w:r>
    </w:p>
    <w:p>
      <w:pPr>
        <w:pStyle w:val="Normal"/>
        <w:spacing w:before="240" w:after="240"/>
        <w:rPr/>
      </w:pPr>
      <w:r>
        <w:rPr/>
        <w:t>Je respektována individuální potřeba aktivity, spánku, odpočinku jednotlivých dětí. Děti s menší potřebou spánku mají po krátkém odpočinku možnost věnovat se klidným činnostem, v průběhu dne mohou děti relaxovat a odpočívat na lehacím vaku. V jedné ze tříd je k tomu vytvořen koutek se závěsem. </w:t>
      </w:r>
    </w:p>
    <w:p>
      <w:pPr>
        <w:pStyle w:val="Normal"/>
        <w:spacing w:before="240" w:after="240"/>
        <w:rPr/>
      </w:pPr>
      <w:r>
        <w:rPr/>
        <w:t>Učitelé jsou pro děti vzorem při dodržování zdravého životního stylu. </w:t>
      </w:r>
    </w:p>
    <w:p>
      <w:pPr>
        <w:pStyle w:val="Normal"/>
        <w:spacing w:before="240" w:after="240"/>
        <w:rPr/>
      </w:pPr>
      <w:r>
        <w:rPr/>
        <w:t>Od školního roku 2023/2024 bude škola zapojena ve spolupráci s MAP Šlapanice do projektu Lokomoce, jehož součástí je vzdělávání pedagogů k budování návyků zdravého životního stylu u dětí, prevence vadného držení těla, podpora motoriky a správných pohybových návyků u dětí. V jeho rámci se uskuteční dvakrát ročně workshop pro pedagogy, každodenní cvičení dětí ve školce, informační schůzka pro rodiče na začátku šk.roku vedená odborníkem, proběhne supervize lektora ve školce 2x za pololetí. Rodiče dostanou každý měsíc tipy, jak s dětmi pracovat na rozvoji pohybových dovedností.  </w:t>
      </w:r>
    </w:p>
    <w:p>
      <w:pPr>
        <w:pStyle w:val="Normal"/>
        <w:spacing w:before="240" w:after="240"/>
        <w:rPr/>
      </w:pPr>
      <w:r>
        <w:rPr/>
        <w:br/>
      </w:r>
    </w:p>
    <w:p>
      <w:pPr>
        <w:pStyle w:val="Heading2"/>
        <w:spacing w:before="299" w:after="299"/>
        <w:ind w:hanging="578" w:left="578"/>
        <w:rPr/>
      </w:pPr>
      <w:bookmarkStart w:id="12" w:name="_Toc256000013"/>
      <w:r>
        <w:rPr/>
        <w:t>Psychosociální podmínky</w:t>
      </w:r>
      <w:bookmarkEnd w:id="12"/>
      <w:r>
        <w:rPr/>
        <w:t> </w:t>
      </w:r>
    </w:p>
    <w:p>
      <w:pPr>
        <w:pStyle w:val="Normal"/>
        <w:spacing w:before="240" w:after="240"/>
        <w:rPr/>
      </w:pPr>
      <w:r>
        <w:rPr/>
        <w:t>Třída je pro děti společenstvím, v němž jsou zpravidla rády, nově přicházející dítě má možnost se postupně adaptovat na nové prostředí i situaci. Vzdělávání dětí odpovídá mentalitě a potřebám předškolního dítěte, je mu tematicky blízké a pochopitelné. Vztahy mezi dospělými a dětmi jsou založeny na vzájemné důvěře a ocenění, nenásilném ovlivňování ze strany pedagoga, působení prosociálním směrem, prevenci šikany a jiných sociálně patologických jevů. Je respektováno přirozené osobní tempo každého dítěte. Všechny děti mají rovnocenné postavení.  </w:t>
      </w:r>
    </w:p>
    <w:p>
      <w:pPr>
        <w:pStyle w:val="Normal"/>
        <w:spacing w:before="240" w:after="240"/>
        <w:rPr/>
      </w:pPr>
      <w:r>
        <w:rPr/>
        <w:t>Od září 2015 využíváme prvky vzdělávacího programu Začít spolu, který klade důraz na individuální přístup ke každému dítěti, vedení dětí k samostatnému rozhodování a odpovědnosti za svou volbu, rozvíjení schopností, znalostí a dovedností dětí prostřednictvím plánované činnosti, center aktivit a pozorování. Děti jsou vedeny také ke spolupráci ve dvojicích i ve skupinkách. Pedagog využívá formativní hodnocení a sebehodnocení dětí. </w:t>
      </w:r>
    </w:p>
    <w:p>
      <w:pPr>
        <w:pStyle w:val="Normal"/>
        <w:spacing w:before="240" w:after="240"/>
        <w:rPr/>
      </w:pPr>
      <w:r>
        <w:rPr/>
        <w:t>Pedagogický styl je podporující a projevuje se vstřícnou a naslouchající komunikací. Pravidla soužití vyvozují pedagogové společně s dětmi.   </w:t>
      </w:r>
    </w:p>
    <w:p>
      <w:pPr>
        <w:pStyle w:val="Normal"/>
        <w:spacing w:before="240" w:after="240"/>
        <w:rPr/>
      </w:pPr>
      <w:r>
        <w:rPr/>
        <w:t>V současné době je učitelský sbor stabilizován a tím došlo ke zlepšení klimatu tříd a podmínek vzdělávání.  </w:t>
      </w:r>
    </w:p>
    <w:p>
      <w:pPr>
        <w:pStyle w:val="Normal"/>
        <w:spacing w:before="240" w:after="240"/>
        <w:rPr/>
      </w:pPr>
      <w:r>
        <w:rPr/>
        <w:t>Zaměříme se na využití opětovné adaptace dětí na školní prostředí po delší absenci.  </w:t>
      </w:r>
    </w:p>
    <w:p>
      <w:pPr>
        <w:pStyle w:val="Heading2"/>
        <w:spacing w:before="299" w:after="299"/>
        <w:ind w:hanging="578" w:left="578"/>
        <w:rPr/>
      </w:pPr>
      <w:bookmarkStart w:id="13" w:name="_Toc256000014"/>
      <w:r>
        <w:rPr/>
        <w:t>Organizace chodu</w:t>
      </w:r>
      <w:bookmarkEnd w:id="13"/>
      <w:r>
        <w:rPr/>
        <w:t> </w:t>
      </w:r>
    </w:p>
    <w:p>
      <w:pPr>
        <w:pStyle w:val="Normal"/>
        <w:spacing w:before="240" w:after="240"/>
        <w:rPr/>
      </w:pPr>
      <w:r>
        <w:rPr/>
        <w:t>Denní řád je dostatečně pružný, reaguje na individuální možnosti dětí. Děti nacházejí potřebné zázemí, klid, bezpečí i soukromí. Řízené zdravotně preventivní pohybové aktivity jsou zařazovány pravidelně, poměr spontánních a řízených činností je v denním programu vyvážený.  </w:t>
      </w:r>
    </w:p>
    <w:p>
      <w:pPr>
        <w:pStyle w:val="Normal"/>
        <w:spacing w:before="240" w:after="240"/>
        <w:rPr/>
      </w:pPr>
      <w:r>
        <w:rPr/>
        <w:t>Plánování probíhá společně s dětmi v ranním kruhu na začátku integrovaného bloku, vychází z jejich zájmu a potřeb, děti jsou podněcovány k vlastní aktivitě a experimentování  nejen při práci v centrech aktivit. Jsou vytvářeny podmínky pro individuální, skupinové i frontální činnosti. Pro realizaci plánovaných činností jsou vytvářeny vhodné materiální podmínky.  </w:t>
      </w:r>
    </w:p>
    <w:p>
      <w:pPr>
        <w:pStyle w:val="Normal"/>
        <w:spacing w:before="240" w:after="240"/>
        <w:rPr/>
      </w:pPr>
      <w:r>
        <w:rPr/>
        <w:t>Při vstupu dítěte do mateřské školy je uplatňován individuálně přizpůsobený adaptační režim. Nejen v tomto období, ale i v průběhu celého školního roku se děti  nemusí účastnit  některé z činností. </w:t>
      </w:r>
    </w:p>
    <w:p>
      <w:pPr>
        <w:pStyle w:val="Normal"/>
        <w:spacing w:before="240" w:after="240"/>
        <w:rPr/>
      </w:pPr>
      <w:r>
        <w:rPr/>
        <w:t>V průběhu dne mohou odpočívat na relaxačním vaku. </w:t>
      </w:r>
    </w:p>
    <w:p>
      <w:pPr>
        <w:pStyle w:val="Normal"/>
        <w:spacing w:before="240" w:after="240"/>
        <w:rPr/>
      </w:pPr>
      <w:r>
        <w:rPr/>
        <w:t>Nejsou překračovány stanovené počty dětí ve třídě, spojování tříd je maximálně omezeno, učitelé se plně věnují dětem a jejich vzdělávání. </w:t>
      </w:r>
    </w:p>
    <w:p>
      <w:pPr>
        <w:pStyle w:val="Normal"/>
        <w:spacing w:before="240" w:after="240"/>
        <w:rPr/>
      </w:pPr>
      <w:r>
        <w:rPr/>
        <w:t>Předškolní vzdělávání dětí probíhá v následujícím  </w:t>
      </w:r>
      <w:r>
        <w:rPr>
          <w:b/>
          <w:bCs/>
        </w:rPr>
        <w:t>uspořádání dne </w:t>
      </w:r>
      <w:r>
        <w:rPr/>
        <w:t>:  </w:t>
      </w:r>
    </w:p>
    <w:p>
      <w:pPr>
        <w:pStyle w:val="Normal"/>
        <w:spacing w:before="240" w:after="240"/>
        <w:rPr/>
      </w:pPr>
      <w:r>
        <w:rPr/>
        <w:t> </w:t>
      </w:r>
      <w:r>
        <w:rPr/>
        <w:t>6:45 -  8:30     příchod dětí do mateřské školy, volné činnosti dětí a řízené aktivity, úkol pro nejstarší děti  </w:t>
      </w:r>
    </w:p>
    <w:p>
      <w:pPr>
        <w:pStyle w:val="Normal"/>
        <w:spacing w:before="240" w:after="240"/>
        <w:rPr/>
      </w:pPr>
      <w:r>
        <w:rPr/>
        <w:t> </w:t>
      </w:r>
      <w:r>
        <w:rPr/>
        <w:t>8:30 -  9:00     ranní kruh, cvičení, plánování činností do center aktivit  </w:t>
      </w:r>
    </w:p>
    <w:p>
      <w:pPr>
        <w:pStyle w:val="Normal"/>
        <w:spacing w:before="240" w:after="240"/>
        <w:rPr/>
      </w:pPr>
      <w:r>
        <w:rPr/>
        <w:t> </w:t>
      </w:r>
      <w:r>
        <w:rPr/>
        <w:t>9:00                hygiena, dopolední svačina  </w:t>
      </w:r>
    </w:p>
    <w:p>
      <w:pPr>
        <w:pStyle w:val="Normal"/>
        <w:spacing w:before="240" w:after="240"/>
        <w:rPr/>
      </w:pPr>
      <w:r>
        <w:rPr/>
        <w:t> </w:t>
      </w:r>
      <w:r>
        <w:rPr/>
        <w:t>9:45 - 11:45    osobní hygiena, příprava na pobyt dětí venku, pobyt venku s volnými pohybovými </w:t>
      </w:r>
    </w:p>
    <w:p>
      <w:pPr>
        <w:pStyle w:val="Normal"/>
        <w:spacing w:before="240" w:after="240"/>
        <w:rPr/>
      </w:pPr>
      <w:r>
        <w:rPr/>
        <w:t>                         </w:t>
      </w:r>
      <w:r>
        <w:rPr/>
        <w:t>aktivitami, seznamováním s přírodou, s přírodními jevy a s okolním světem </w:t>
      </w:r>
    </w:p>
    <w:p>
      <w:pPr>
        <w:pStyle w:val="Normal"/>
        <w:spacing w:before="240" w:after="240"/>
        <w:rPr/>
      </w:pPr>
      <w:r>
        <w:rPr/>
        <w:t>                         </w:t>
      </w:r>
      <w:r>
        <w:rPr/>
        <w:t>(v případě velmi nepříznivého počasí pokračují činnosti ve třídě nebo tělocvičně)  </w:t>
      </w:r>
    </w:p>
    <w:p>
      <w:pPr>
        <w:pStyle w:val="Normal"/>
        <w:spacing w:before="240" w:after="240"/>
        <w:rPr/>
      </w:pPr>
      <w:r>
        <w:rPr/>
        <w:t>11:45 - 12:30    příprava na oběd, oběd a osobní hygiena dětí  </w:t>
      </w:r>
    </w:p>
    <w:p>
      <w:pPr>
        <w:pStyle w:val="Normal"/>
        <w:spacing w:before="240" w:after="240"/>
        <w:rPr/>
      </w:pPr>
      <w:r>
        <w:rPr/>
        <w:t>12:30 - 13:00    rozcházení dětí po obědě  </w:t>
      </w:r>
    </w:p>
    <w:p>
      <w:pPr>
        <w:pStyle w:val="Normal"/>
        <w:spacing w:before="240" w:after="240"/>
        <w:rPr/>
      </w:pPr>
      <w:r>
        <w:rPr/>
        <w:t>12:30 - 14:30    spánek a odpočinek dětí respektující rozdílné potřeby dětí, klidné činnosti nespících </w:t>
      </w:r>
    </w:p>
    <w:p>
      <w:pPr>
        <w:pStyle w:val="Normal"/>
        <w:spacing w:before="240" w:after="240"/>
        <w:rPr/>
      </w:pPr>
      <w:r>
        <w:rPr/>
        <w:t>                         </w:t>
      </w:r>
      <w:r>
        <w:rPr/>
        <w:t>dětí  </w:t>
      </w:r>
    </w:p>
    <w:p>
      <w:pPr>
        <w:pStyle w:val="Normal"/>
        <w:spacing w:before="240" w:after="240"/>
        <w:rPr/>
      </w:pPr>
      <w:r>
        <w:rPr/>
        <w:t>14:30 - 15:00    osobní hygiena, odpolední svačina  </w:t>
      </w:r>
    </w:p>
    <w:p>
      <w:pPr>
        <w:pStyle w:val="Normal"/>
        <w:spacing w:before="240" w:after="240"/>
        <w:rPr/>
      </w:pPr>
      <w:r>
        <w:rPr/>
        <w:t>15:00 - 16:45    volné činnosti dětí a řízené aktivity (v případě pěkného počasí na zahradě mateřské     </w:t>
      </w:r>
    </w:p>
    <w:p>
      <w:pPr>
        <w:pStyle w:val="Normal"/>
        <w:spacing w:before="240" w:after="240"/>
        <w:rPr/>
      </w:pPr>
      <w:r>
        <w:rPr/>
        <w:t>                         </w:t>
      </w:r>
      <w:r>
        <w:rPr/>
        <w:t>školy), odcházení dětí domů   </w:t>
      </w:r>
    </w:p>
    <w:p>
      <w:pPr>
        <w:pStyle w:val="Normal"/>
        <w:rPr/>
      </w:pPr>
      <w:r>
        <w:rPr/>
      </w:r>
    </w:p>
    <w:p>
      <w:pPr>
        <w:pStyle w:val="Heading2"/>
        <w:spacing w:before="299" w:after="299"/>
        <w:ind w:hanging="578" w:left="578"/>
        <w:rPr/>
      </w:pPr>
      <w:bookmarkStart w:id="14" w:name="_Toc256000015"/>
      <w:r>
        <w:rPr/>
        <w:t>Řízení mateřské školy</w:t>
      </w:r>
      <w:bookmarkEnd w:id="14"/>
      <w:r>
        <w:rPr/>
        <w:t> </w:t>
      </w:r>
    </w:p>
    <w:p>
      <w:pPr>
        <w:pStyle w:val="Normal"/>
        <w:spacing w:before="240" w:after="240"/>
        <w:rPr/>
      </w:pPr>
      <w:r>
        <w:rPr/>
        <w:t>Povinnosti, pravomoci a úkoly všech pracovníků jsou jasně vymezeny. Zaměstnanci jsou informováni na pravidelných pedagogických a provozních poradách, rodičům jsou informace předávány při vyzvedávání dětí ve třídě, na schůzkách, na nástěnce v hale a webových stránkách. V průběhu roku jsou organizovány konzultační hodiny pro rodiče ohledně vzdělávání a pokroku, případně problémů jejich dětí. Rodiče si mohou domluvit schůzku dle potřeby nebo sledovat práci ve třídě, případně se aktivně účastnit.  </w:t>
      </w:r>
    </w:p>
    <w:p>
      <w:pPr>
        <w:pStyle w:val="Normal"/>
        <w:spacing w:before="240" w:after="240"/>
        <w:rPr/>
      </w:pPr>
      <w:r>
        <w:rPr/>
        <w:t>Při vedení zaměstnanců ředitelka zapojuje spolupracovníky do řízení. Ředitelka vyhodnocuje práci všech zaměstnanců. Pedagogický sbor pracuje jako tým. Plánování pedagogické práce a chodu mateřské školy je funkční. Ředitelka vychází z analýzy a využívá zpětné vazby, vypracovává školní vzdělávací program ve spolupráci s pedagogy.   </w:t>
      </w:r>
    </w:p>
    <w:p>
      <w:pPr>
        <w:pStyle w:val="Normal"/>
        <w:spacing w:before="240" w:after="240"/>
        <w:rPr/>
      </w:pPr>
      <w:r>
        <w:rPr/>
        <w:t>Mateřská škola spolupracuje se zřizovatelem a dalšími organizacemi a účastní  se veřejného života v obci. Před Vánocemi děti vystoupí s koledami na pravidelné akci Zpívání u vánočního stromu, vyrábí dekorace na jarmark, na jaře škola organizuje besídku ke Dni rodin v sále u Stupárků, které se účastní i jiné zájmové organizace z obce. Děti z mateřské školy vystupují na oslavách jubilantů seniorů a při výročích obce. </w:t>
      </w:r>
    </w:p>
    <w:p>
      <w:pPr>
        <w:pStyle w:val="Normal"/>
        <w:spacing w:before="240" w:after="240"/>
        <w:rPr/>
      </w:pPr>
      <w:r>
        <w:rPr/>
        <w:t>Prostřednictvím článků v místním Zpravodaji seznamujeme veřejnost s činností MŠ.  </w:t>
      </w:r>
    </w:p>
    <w:p>
      <w:pPr>
        <w:pStyle w:val="Normal"/>
        <w:spacing w:before="240" w:after="240"/>
        <w:rPr/>
      </w:pPr>
      <w:r>
        <w:rPr/>
        <w:t>Ve spolupráci MAP Šlapanice, Bobrava a Moravský kras se účastníme seminářů pro rodiče i pedagogy a zapojujeme se do turnajů a jiných aktivit jimi nabízených, například Technické školky, využití robotů... </w:t>
      </w:r>
    </w:p>
    <w:p>
      <w:pPr>
        <w:pStyle w:val="Normal"/>
        <w:spacing w:before="240" w:after="240"/>
        <w:rPr/>
      </w:pPr>
      <w:r>
        <w:rPr/>
        <w:t>Při řešení individuálních výchovných a vzdělávacích problémů dětí spolupracujeme s Pedagogicko-psychologickou poradnou a Speciálně pedagogickým centrem.  </w:t>
      </w:r>
    </w:p>
    <w:p>
      <w:pPr>
        <w:pStyle w:val="Normal"/>
        <w:spacing w:before="240" w:after="240"/>
        <w:rPr/>
      </w:pPr>
      <w:r>
        <w:rPr/>
        <w:t>Spolupracujeme se Základními školami v okolí. Se ZŠ Pozořice jezdíme na předplaveckou výuku do Vyškova, žáci 8. a 9. tříd připravují pro děti Mikulášskou nadílku. Nejstarší děti navštěvují 1. třídy ZŠ Pozořice a Mokrá.  </w:t>
      </w:r>
    </w:p>
    <w:p>
      <w:pPr>
        <w:pStyle w:val="Normal"/>
        <w:spacing w:before="240" w:after="240"/>
        <w:rPr/>
      </w:pPr>
      <w:r>
        <w:rPr/>
        <w:t>Pravidelně navštěvujeme hasičskou zbrojnici Sdružení dobrovolných hasičů.   </w:t>
      </w:r>
    </w:p>
    <w:p>
      <w:pPr>
        <w:pStyle w:val="Normal"/>
        <w:spacing w:before="240" w:after="240"/>
        <w:rPr/>
      </w:pPr>
      <w:r>
        <w:rPr/>
        <w:t>Dvakrát ročně se účastníme besedy v Knihovně v Mokré.  </w:t>
      </w:r>
    </w:p>
    <w:p>
      <w:pPr>
        <w:pStyle w:val="Normal"/>
        <w:spacing w:before="240" w:after="240"/>
        <w:rPr/>
      </w:pPr>
      <w:r>
        <w:rPr/>
        <w:t>S rodiči jsme navázali spolupráci např. čtením dětem před spaním a pravidelnými návštěvami hasičské stanice v Pozořicích. Spolupráci s rodiči bychom chtěli rozšířit. V jednání máme besedy rodičů o svých koníčcích nebo zaměstnáních. Dále plánujeme zařadit besedy se seniory a místním kronikářem.  Od září 2023 bude rodičům umožněno využívat novou mobilní aplikaci ke komunikaci s MŠ. </w:t>
      </w:r>
    </w:p>
    <w:p>
      <w:pPr>
        <w:pStyle w:val="Heading2"/>
        <w:spacing w:before="299" w:after="299"/>
        <w:ind w:hanging="578" w:left="578"/>
        <w:rPr/>
      </w:pPr>
      <w:bookmarkStart w:id="15" w:name="_Toc256000016"/>
      <w:r>
        <w:rPr/>
        <w:t>Personální a pedagogické zajištění</w:t>
      </w:r>
      <w:bookmarkEnd w:id="15"/>
      <w:r>
        <w:rPr/>
        <w:t> </w:t>
      </w:r>
    </w:p>
    <w:p>
      <w:pPr>
        <w:pStyle w:val="Normal"/>
        <w:spacing w:before="240" w:after="240"/>
        <w:rPr/>
      </w:pPr>
      <w:r>
        <w:rPr/>
        <w:t>V MŠ pracují 4 kvalifikovaní pedagogové (ředitelka a 3 učitelky), 1 asistent pedagoga (třída Mravenečci) a 2 provozní zaměstnankyně. Všichni pedagogové si průběžně doplňují odborné znalosti v rámci školení a kurzů DVPP a samostudiem odborné literatury. Pedagogický sbor funguje na základě jasně vymezených pravidel. Zaměstnanci jednají, chovají se a pracují profesionálním způsobem (v souladu se společenskými pravidly a pedagogickými a metodickými zásadami výchovy a vzdělávání předškolních dětí). </w:t>
      </w:r>
    </w:p>
    <w:p>
      <w:pPr>
        <w:pStyle w:val="Normal"/>
        <w:spacing w:before="240" w:after="240"/>
        <w:rPr/>
      </w:pPr>
      <w:r>
        <w:rPr/>
        <w:t>Je zajištěno překrývání přímé pedagogické činnosti učitelů každý den, v každé třídě minimálně v rozsahu 2,5 hodiny. </w:t>
      </w:r>
    </w:p>
    <w:p>
      <w:pPr>
        <w:pStyle w:val="Normal"/>
        <w:spacing w:before="240" w:after="240"/>
        <w:rPr/>
      </w:pPr>
      <w:r>
        <w:rPr/>
        <w:t>Zaměstnanci školy se při své práci řídí bezpečnostními předpisy stanovenými provozním řádem, pravidelně 1x ročně jsou proškolováni. </w:t>
      </w:r>
    </w:p>
    <w:p>
      <w:pPr>
        <w:pStyle w:val="Normal"/>
        <w:spacing w:before="240" w:after="240"/>
        <w:rPr/>
      </w:pPr>
      <w:r>
        <w:rPr/>
        <w:t>V případě, že asistent pedagoga nebude hrazen z podpůrných opatření, škola podle potřeby zaměstná školního asistenta, </w:t>
      </w:r>
      <w:r>
        <w:rPr>
          <w:rFonts w:eastAsia="Helvetica" w:cs="Helvetica" w:ascii="Helvetica" w:hAnsi="Helvetica"/>
          <w:sz w:val="20"/>
          <w:szCs w:val="20"/>
        </w:rPr>
        <w:t>který je hrazen z fondu EU. </w:t>
      </w:r>
    </w:p>
    <w:p>
      <w:pPr>
        <w:pStyle w:val="Heading2"/>
        <w:spacing w:before="299" w:after="299"/>
        <w:ind w:hanging="578" w:left="578"/>
        <w:rPr/>
      </w:pPr>
      <w:bookmarkStart w:id="16" w:name="_Toc256000017"/>
      <w:r>
        <w:rPr/>
        <w:t>Spoluúčast rodičů</w:t>
      </w:r>
      <w:bookmarkEnd w:id="16"/>
      <w:r>
        <w:rPr/>
        <w:t> </w:t>
      </w:r>
    </w:p>
    <w:p>
      <w:pPr>
        <w:pStyle w:val="Normal"/>
        <w:spacing w:before="240" w:after="240"/>
        <w:rPr/>
      </w:pPr>
      <w:r>
        <w:rPr/>
        <w:t>Zlepšení spolupráce s rodiči je prioritou naší práce, otevřené dveře jsou samozřejmostí. Rodiče mají možnost se podívat na způsob práce s jejich dětmi ve skupině ve třídě, blíže se seznámit s principy programu Začít spolu aplikovanými do praxe v konkrétních činnostech dané třídy. Snažíme se rodiče zapojit do školních akcí. Rodiče se podílejí na opravě hraček, pomáhají dovybavit některá Centra aktivit, vybudovali dětem zvýšené záhonky, spolupracují při organizování akcí MŠ. Rodiče si mohou zapůjčit odbornou literaturu a pomůcky. Mateřská škola podporuje rodinnou výchovu a pomáhá rodičům v péči o dítě; nabízí rodičům poradenský servis i nejrůznější osvětové aktivity v otázkách výchovy a vzdělávání předškolních dětí - například semináře paní Mgr. Jiřiny Bednářové s tématikou školní připravenosti, logopedické webináře Mgr. Ley Šafránkové. </w:t>
      </w:r>
    </w:p>
    <w:p>
      <w:pPr>
        <w:pStyle w:val="Normal"/>
        <w:spacing w:before="240" w:after="240"/>
        <w:rPr/>
      </w:pPr>
      <w:r>
        <w:rPr/>
        <w:t>Komunikace s rodiči probíhá především ústně, dále jsou informováni o aktuálním dění na nástěnce v hale budovy MŠ a na webových stránkách, nově přes mobilní aplikaci. Mají také možnost využít dle potřeby konzultace s ředitelkou MŠ nebo s učitelkou ve třídě. V průběhu školního roku jsou organizovány třídní schůzky a konzultační hodiny, kde učitelé pravidelně rodiče informují o individuálních pokrocích dítěte a domlouvají se na dalším postupu vzdělávání.  </w:t>
      </w:r>
    </w:p>
    <w:p>
      <w:pPr>
        <w:pStyle w:val="Normal"/>
        <w:spacing w:before="240" w:after="240"/>
        <w:rPr/>
      </w:pPr>
      <w:r>
        <w:rPr/>
        <w:t>V příštím období hodláme vymyslet systém pro půjčování odborné literatury a pomůcek rodinám a rozšířit povědomí rodičů o této možnosti, zapojit rodiče do projektu Lokomoce.  </w:t>
      </w:r>
    </w:p>
    <w:p>
      <w:pPr>
        <w:pStyle w:val="Heading2"/>
        <w:spacing w:before="299" w:after="299"/>
        <w:ind w:hanging="578" w:left="578"/>
        <w:rPr/>
      </w:pPr>
      <w:bookmarkStart w:id="17" w:name="_Toc256000018"/>
      <w:r>
        <w:rPr/>
        <w:t>Podmínky pro vzdělávání dětí se speciálními vzdělávacími potřebami</w:t>
      </w:r>
      <w:bookmarkEnd w:id="17"/>
      <w:r>
        <w:rPr/>
        <w:t> </w:t>
      </w:r>
    </w:p>
    <w:p>
      <w:pPr>
        <w:pStyle w:val="Normal"/>
        <w:spacing w:before="240" w:after="240"/>
        <w:rPr/>
      </w:pPr>
      <w:r>
        <w:rPr/>
        <w:t>Prostředí mateřské školy je bezpečné, třídy s nižším počtem dětí umožňují zvýšený dohled nad dětmi se speciálními vzdělávacími potřebami. Dítě s tělesným postižením můžeme vzdělávat, pokud je schopno samostatné chůze, protože mateřská škola v současnosti není bezbariérová a třídy se nacházejí v prvním poschodí.  </w:t>
      </w:r>
    </w:p>
    <w:p>
      <w:pPr>
        <w:pStyle w:val="Normal"/>
        <w:spacing w:before="240" w:after="240"/>
        <w:rPr/>
      </w:pPr>
      <w:r>
        <w:rPr/>
        <w:t>V mateřské škole jsou k dispozici kompenzační (technické a didaktické) pomůcky dle potřeb konkrétního dítěte. Případné další pomůcky jsou pořizovány ve spolupráci se školským poradentským zařízením. </w:t>
      </w:r>
    </w:p>
    <w:p>
      <w:pPr>
        <w:pStyle w:val="Normal"/>
        <w:spacing w:before="240" w:after="240"/>
        <w:rPr/>
      </w:pPr>
      <w:r>
        <w:rPr/>
        <w:t> </w:t>
      </w:r>
      <w:r>
        <w:rPr/>
        <w:t>V současné době je kvalifikovaná ve speciální pedagogice ředitelka, jedna z učitelek absolvovala kurz Logopedický asistent ve školství. Pracovnice z SPC jezdí v případě potřeby do MŠ.  Mateřská škola zajišťuje spolupráci se zákonnými zástupci dítěte, školskými poradenskými zařízeními, v případě potřeby spolupráci s odborníky mimo oblast školství. Rodiče mají možnost přihlásit děti do logopedického kroužku ve spolupráci se společností Rytmik, a to mimo provoz školy a za úhradu.   </w:t>
      </w:r>
    </w:p>
    <w:p>
      <w:pPr>
        <w:pStyle w:val="Normal"/>
        <w:spacing w:before="240" w:after="240"/>
        <w:rPr/>
      </w:pPr>
      <w:r>
        <w:rPr/>
        <w:t>Třída je běžně naplněna do počtu šestnácti dětí, v případě potřeby vzdělávat děti uprchlíků z Ukrajiny je kapacita navýšena na 19 dětí na třídu. Asistent je ve třídě přítomen na základě doporučení SPC. Ředitelka je schopná, vzhledem ke své kvalifikaci, využívat i alternativní systémy komunikace podle doporučení SPC. </w:t>
      </w:r>
    </w:p>
    <w:p>
      <w:pPr>
        <w:pStyle w:val="Normal"/>
        <w:spacing w:before="240" w:after="240"/>
        <w:rPr/>
      </w:pPr>
      <w:r>
        <w:rPr/>
        <w:t>Bezbariérové úpravy se v minulém období nepodařilo zajistit, i nadále je plánujeme ve spolupráci se zřizovatelem. Případná další podpůrná opatření realizujeme podle aktuálních potřeb a ve spolupráci s poradenskými zařízeními. </w:t>
      </w:r>
    </w:p>
    <w:p>
      <w:pPr>
        <w:pStyle w:val="Normal"/>
        <w:rPr/>
      </w:pPr>
      <w:r>
        <w:rPr/>
      </w:r>
    </w:p>
    <w:p>
      <w:pPr>
        <w:pStyle w:val="Heading2"/>
        <w:spacing w:before="299" w:after="299"/>
        <w:ind w:hanging="578" w:left="578"/>
        <w:rPr/>
      </w:pPr>
      <w:bookmarkStart w:id="18" w:name="_Toc256000019"/>
      <w:r>
        <w:rPr/>
        <w:t>Podmínky vzdělávání dětí nadaných</w:t>
      </w:r>
      <w:bookmarkEnd w:id="18"/>
      <w:r>
        <w:rPr/>
        <w:t> </w:t>
      </w:r>
    </w:p>
    <w:p>
      <w:pPr>
        <w:pStyle w:val="Normal"/>
        <w:spacing w:before="240" w:after="240"/>
        <w:rPr/>
      </w:pPr>
      <w:r>
        <w:rPr/>
        <w:t>Při identifikaci nadání a mimořádného nadání  mateřská škola spolupracuje s PPP a zákonnými zástupci. Aby byl stimulován rozvoj potenciálu těchto dětí, mateřská škola zajistí materiály a didaktické pomůcky, do center aktivit budou zadávány úkoly s náročnějším zadáním. Pedagogové si prohlubují znalosti a dovednosti související se vzděláváním nadaných dětí. Podporují zvídavost dítěte, povzbuzují ke kladení otázek, podporují hledání vlastních cest a způsobů řešení, tvořivost, kombinační schopnosti a originalitu.  </w:t>
      </w:r>
    </w:p>
    <w:p>
      <w:pPr>
        <w:pStyle w:val="Normal"/>
        <w:spacing w:before="240" w:after="240"/>
        <w:rPr/>
      </w:pPr>
      <w:r>
        <w:rPr/>
        <w:t>V rámci DVPP se více zaměříme na prohloubení znalostí a dovedností pro vzdělávání nadaných dětí. </w:t>
      </w:r>
    </w:p>
    <w:p>
      <w:pPr>
        <w:pStyle w:val="Heading2"/>
        <w:spacing w:before="299" w:after="299"/>
        <w:ind w:hanging="578" w:left="578"/>
        <w:rPr/>
      </w:pPr>
      <w:bookmarkStart w:id="19" w:name="_Toc256000020"/>
      <w:r>
        <w:rPr/>
        <w:t>Podmínky vzdělávání dětí od dvou do tří let</w:t>
      </w:r>
      <w:bookmarkEnd w:id="19"/>
      <w:r>
        <w:rPr/>
        <w:t> </w:t>
      </w:r>
    </w:p>
    <w:p>
      <w:pPr>
        <w:pStyle w:val="Normal"/>
        <w:spacing w:before="240" w:after="240"/>
        <w:rPr/>
      </w:pPr>
      <w:r>
        <w:rPr/>
        <w:t>Pro vzdělávání dvouletých dětí je zabezpečen dostatek vhodných hraček a pomůcek, jejich bezpečné uspořádání ve třídě a dostatek přiměřených podnětů. Ve třídě jsou nastavena srozumitelná pravidla. Je zajištěn vyhovující režim dne - pravidelnost, dostatek času na realizaci činností a stravování, dostatečný odpočinek </w:t>
      </w:r>
    </w:p>
    <w:p>
      <w:pPr>
        <w:pStyle w:val="Normal"/>
        <w:spacing w:before="240" w:after="240"/>
        <w:rPr/>
      </w:pPr>
      <w:r>
        <w:rPr/>
        <w:t>Prostředí poskytuje dostatečný prostor pro volný pohyb, hru dětí a potřebu odpočinku. Prostory MŠ jsou vybaveny dostatečným zázemím pro zajištění hygieny. Šatna je vybavena úložným prostorem na náhradní oblečení a hygienické potřeby. </w:t>
      </w:r>
    </w:p>
    <w:p>
      <w:pPr>
        <w:sectPr>
          <w:headerReference w:type="default" r:id="rId14"/>
          <w:headerReference w:type="first" r:id="rId15"/>
          <w:footerReference w:type="default" r:id="rId16"/>
          <w:footerReference w:type="first" r:id="rId17"/>
          <w:type w:val="nextPage"/>
          <w:pgSz w:w="11906" w:h="16838"/>
          <w:pgMar w:left="1800" w:right="1325" w:gutter="0" w:header="720" w:top="1440" w:footer="720" w:bottom="1440"/>
          <w:pgNumType w:fmt="decimal"/>
          <w:formProt w:val="false"/>
          <w:textDirection w:val="lrTb"/>
          <w:docGrid w:type="default" w:linePitch="100" w:charSpace="0"/>
        </w:sectPr>
        <w:pStyle w:val="Normal"/>
        <w:spacing w:before="240" w:after="240"/>
        <w:rPr/>
      </w:pPr>
      <w:r>
        <w:rPr/>
        <w:t>Jsou vytvořeny podmínky pro adaptaci dítěte v souladu s jeho individuálními potřebami. Vzdělávací činnosti jsou realizovány individuálně, je uplatňován laskavě důsledný přistup, pozitivní přijímání dítěte. Jsou podporovány oboustranné pozitivní vztahy, důvěra a spolupráce s rodinou. V současné době děti nastupují převážně až po dovršení tří let.</w:t>
      </w:r>
    </w:p>
    <w:p>
      <w:pPr>
        <w:pStyle w:val="Heading1"/>
        <w:spacing w:before="0" w:after="322"/>
        <w:ind w:hanging="431" w:left="431"/>
        <w:rPr/>
      </w:pPr>
      <w:bookmarkStart w:id="20" w:name="_Toc256000022"/>
      <w:r>
        <w:rPr/>
        <w:t>Organizace vzdělávání</w:t>
      </w:r>
      <w:bookmarkEnd w:id="20"/>
      <w:r>
        <w:rPr/>
        <w:t> </w:t>
      </w:r>
    </w:p>
    <w:p>
      <w:pPr>
        <w:pStyle w:val="Normal"/>
        <w:spacing w:before="240" w:after="240"/>
        <w:rPr/>
      </w:pPr>
      <w:r>
        <w:rPr>
          <w:b/>
          <w:bCs/>
        </w:rPr>
        <w:t>Počet tříd včetně bližší charakteristiky:  </w:t>
      </w:r>
    </w:p>
    <w:p>
      <w:pPr>
        <w:pStyle w:val="Normal"/>
        <w:spacing w:before="240" w:after="240"/>
        <w:rPr/>
      </w:pPr>
      <w:r>
        <w:rPr/>
        <w:t>Mateřská škola je dvojtřídní, třídy jsou věkově smíšené, celodenní, naplněné do počtu 16 dětí.  </w:t>
      </w:r>
    </w:p>
    <w:p>
      <w:pPr>
        <w:pStyle w:val="Normal"/>
        <w:spacing w:before="240" w:after="240"/>
        <w:rPr/>
      </w:pPr>
      <w:r>
        <w:rPr/>
        <w:t>Hygienické zázemí pro děti i personál se nachází v patře budovy, stejně jako výdejna stravy. V přízemí je prostorná šatna, tělocvična a sociální zařízení.  </w:t>
      </w:r>
    </w:p>
    <w:p>
      <w:pPr>
        <w:pStyle w:val="Normal"/>
        <w:spacing w:before="240" w:after="240"/>
        <w:rPr/>
      </w:pPr>
      <w:r>
        <w:rPr/>
        <w:br/>
      </w:r>
      <w:r>
        <w:rPr>
          <w:b/>
          <w:bCs/>
        </w:rPr>
        <w:t>Pravidla pro zařazování do jednotlivých tříd:  </w:t>
      </w:r>
    </w:p>
    <w:p>
      <w:pPr>
        <w:pStyle w:val="Normal"/>
        <w:spacing w:before="240" w:after="240"/>
        <w:rPr/>
      </w:pPr>
      <w:r>
        <w:rPr/>
        <w:t>Do tříd jsou děti zařazovány podle sourozeneckých vazeb. Pokud je to možné, zohledňujeme přání rodičů. </w:t>
      </w:r>
    </w:p>
    <w:p>
      <w:pPr>
        <w:pStyle w:val="Normal"/>
        <w:spacing w:before="240" w:after="240"/>
        <w:rPr/>
      </w:pPr>
      <w:r>
        <w:rPr/>
        <w:br/>
      </w:r>
      <w:r>
        <w:rPr>
          <w:b/>
          <w:bCs/>
        </w:rPr>
        <w:t>Činnosti se souběžným působením dvou učitelů ve třídě:  </w:t>
      </w:r>
    </w:p>
    <w:p>
      <w:pPr>
        <w:pStyle w:val="Normal"/>
        <w:spacing w:before="240" w:after="240"/>
        <w:rPr/>
      </w:pPr>
      <w:r>
        <w:rPr/>
        <w:t>Souběžné působení dvou učitel </w:t>
      </w:r>
      <w:r>
        <w:rPr>
          <w:b/>
          <w:bCs/>
        </w:rPr>
        <w:t>ů  </w:t>
      </w:r>
      <w:r>
        <w:rPr/>
        <w:t>je zajištěno minimálně po dobu 2,5 hodin denně. </w:t>
      </w:r>
    </w:p>
    <w:p>
      <w:pPr>
        <w:pStyle w:val="Normal"/>
        <w:spacing w:before="240" w:after="240"/>
        <w:rPr/>
      </w:pPr>
      <w:r>
        <w:rPr/>
        <w:t>V této době se společně věnují přípravě na pobyt venku (hygiena, převlékání dětí, vedení k samostatnosti, sebeobsluze a vzájemné pomoci a spolupráci dětí), zajištění bezpečnosti dětí při pobytu venku  (hry, pobyt na školní zahradě, vycházky, výlety do přírody v okolí MŠ a akce mimo obec), spolupráci na připravených činnostech pro děti. </w:t>
      </w:r>
    </w:p>
    <w:p>
      <w:pPr>
        <w:pStyle w:val="Normal"/>
        <w:spacing w:before="240" w:after="240"/>
        <w:rPr/>
      </w:pPr>
      <w:r>
        <w:rPr/>
        <w:br/>
      </w:r>
      <w:r>
        <w:rPr>
          <w:b/>
          <w:bCs/>
        </w:rPr>
        <w:t>Kritéria pro přijímání dětí do mateřské školy:  </w:t>
      </w:r>
    </w:p>
    <w:p>
      <w:pPr>
        <w:pStyle w:val="Normal"/>
        <w:spacing w:before="240" w:after="240"/>
        <w:rPr/>
      </w:pPr>
      <w:r>
        <w:rPr/>
        <w:t>Děti jsou přijímány na základě přihlášky podané zákonnými zástupci dítěte v době vyhlášeného zápisu k předškolnímu vzdělávání. </w:t>
      </w:r>
    </w:p>
    <w:p>
      <w:pPr>
        <w:pStyle w:val="Normal"/>
        <w:spacing w:before="240" w:after="240"/>
        <w:rPr/>
      </w:pPr>
      <w:r>
        <w:rPr/>
        <w:t>Ředitelka stanoví kritéria, podle nichž bude postupovat při rozhodování o přijetí dítěte k předškolnímu vzdělávání v mateřské škole v případě, kdy počet žádostí o přijetí k předškolnímu vzdělávání v daném roce překročí stanovenou kapacitu maximálního počtu dětí pro mateřskou školu.  </w:t>
      </w:r>
    </w:p>
    <w:p>
      <w:pPr>
        <w:pStyle w:val="Normal"/>
        <w:spacing w:before="240" w:after="240"/>
        <w:rPr/>
      </w:pPr>
      <w:r>
        <w:rPr/>
        <w:t>Kritéria jsou zveřejněna kažodročně společně s vyhlášením termínu zápisu do mateřské školy na webových stránkách školy a na nástěnce v mateřské škole. </w:t>
      </w:r>
    </w:p>
    <w:p>
      <w:pPr>
        <w:sectPr>
          <w:headerReference w:type="default" r:id="rId18"/>
          <w:headerReference w:type="first" r:id="rId19"/>
          <w:footerReference w:type="default" r:id="rId20"/>
          <w:footerReference w:type="first" r:id="rId21"/>
          <w:type w:val="nextPage"/>
          <w:pgSz w:w="11906" w:h="16838"/>
          <w:pgMar w:left="1800" w:right="1325" w:gutter="0" w:header="720" w:top="1440" w:footer="720" w:bottom="1440"/>
          <w:pgNumType w:fmt="decimal"/>
          <w:formProt w:val="false"/>
          <w:textDirection w:val="lrTb"/>
          <w:docGrid w:type="default" w:linePitch="100" w:charSpace="0"/>
        </w:sectPr>
        <w:pStyle w:val="Normal"/>
        <w:spacing w:before="240" w:after="240"/>
        <w:rPr/>
      </w:pPr>
      <w:r>
        <w:rPr/>
        <w:br/>
      </w:r>
      <w:r>
        <w:rPr/>
        <w:t> </w:t>
      </w:r>
    </w:p>
    <w:p>
      <w:pPr>
        <w:pStyle w:val="Heading1"/>
        <w:spacing w:before="0" w:after="0"/>
        <w:ind w:hanging="431" w:left="431"/>
        <w:rPr/>
      </w:pPr>
      <w:bookmarkStart w:id="21" w:name="_Toc256000024"/>
      <w:r>
        <w:rPr/>
        <w:t>Charakteristika vzdělávacího programu</w:t>
      </w:r>
      <w:bookmarkEnd w:id="21"/>
      <w:r>
        <w:rPr/>
        <w:t> </w:t>
      </w:r>
    </w:p>
    <w:p>
      <w:pPr>
        <w:pStyle w:val="Heading2"/>
        <w:spacing w:before="299" w:after="299"/>
        <w:ind w:hanging="578" w:left="578"/>
        <w:rPr/>
      </w:pPr>
      <w:bookmarkStart w:id="22" w:name="_Toc256000025"/>
      <w:r>
        <w:rPr/>
        <w:t>Zaměření školy</w:t>
      </w:r>
      <w:bookmarkEnd w:id="22"/>
      <w:r>
        <w:rPr/>
        <w:t> </w:t>
      </w:r>
    </w:p>
    <w:p>
      <w:pPr>
        <w:pStyle w:val="Normal"/>
        <w:spacing w:before="240" w:after="240"/>
        <w:rPr/>
      </w:pPr>
      <w:r>
        <w:rPr/>
        <w:t>Od září 2015 využíváme prvky vzdělávacího programu Začít spolu - vycházejícího z teorie konstruktivismu a osobnostně rozvíjejícího modelu. Centra aktivit děti motivují a podněcují k tomu, aby si hrály a pracovaly podle vlastních představ a výběru.  </w:t>
      </w:r>
    </w:p>
    <w:p>
      <w:pPr>
        <w:pStyle w:val="Heading2"/>
        <w:spacing w:before="299" w:after="299"/>
        <w:ind w:hanging="578" w:left="578"/>
        <w:rPr/>
      </w:pPr>
      <w:bookmarkStart w:id="23" w:name="_Toc256000026"/>
      <w:r>
        <w:rPr/>
        <w:t>Dlouhodobé cíle vzdělávacího programu</w:t>
      </w:r>
      <w:bookmarkEnd w:id="23"/>
      <w:r>
        <w:rPr/>
        <w:t> </w:t>
      </w:r>
    </w:p>
    <w:p>
      <w:pPr>
        <w:pStyle w:val="Normal"/>
        <w:spacing w:before="240" w:after="240"/>
        <w:rPr/>
      </w:pPr>
      <w:r>
        <w:rPr/>
        <w:t>Navazujeme na výchovu v rodině, zabezpečujeme uspokojování přirozených pořeb dítěte a rozvoj jeho osobnosti. Naším základním cílem je socializace dítěte, bezproblémový vstup do základní školy, snadná adaptace na nové prostředí, přirozená touha po dalším vzdělávání. Naším záměrem je spokojené, samostatné, aktivní a sebevědomé dítě, které se umí samostatně rozhodovat, prosazovat svoje názory, je tvořivé a umí vyjádřit své myšlenky a pocity. Dítě vedeme tak, aby se dobře rozvíjely jeho schopnosti, bylo připravené se učit, vnímat své okolí, komunikovat a dovedlo zvládat určité úkoly. K tomu vytvoříme podnětné vzdélávací prostředí, zajímavé a obsahově bohaté tak, aby se u nás dítě cítilo bezpečně, radostně a spokojeně. Každodenní pestrou nabídkou činností  v centrech aktivit v dětech probouzíme aktivní zájem o poznání a objevování světa. Vytváříme základy kompetencí, důležitých pro celý další vývoj, vzdělávání a celoživotní učení. Zaměřujeme se na sepětí školy s přírodou, vzdélání dětí v oblasti ekologie, ochrany přírody, vyhledáváni estetických prvků v přírodě.  </w:t>
      </w:r>
    </w:p>
    <w:p>
      <w:pPr>
        <w:pStyle w:val="Normal"/>
        <w:spacing w:before="240" w:after="240"/>
        <w:rPr/>
      </w:pPr>
      <w:r>
        <w:rPr/>
        <w:t>Učíme se také kultivovaně prožívat divadla, výstavy, koncerty.  Zúčastňujeme se výtvamých soutěží, veřejného života v obci, poznáváme historická místa v okolí, dodržujeme a slavíme tradice.  </w:t>
      </w:r>
    </w:p>
    <w:p>
      <w:pPr>
        <w:pStyle w:val="Heading2"/>
        <w:spacing w:before="299" w:after="299"/>
        <w:ind w:hanging="578" w:left="578"/>
        <w:rPr/>
      </w:pPr>
      <w:bookmarkStart w:id="24" w:name="_Toc256000027"/>
      <w:r>
        <w:rPr/>
        <w:t>Metody a formy vzdělávání</w:t>
      </w:r>
      <w:bookmarkEnd w:id="24"/>
      <w:r>
        <w:rPr/>
        <w:t> </w:t>
      </w:r>
    </w:p>
    <w:p>
      <w:pPr>
        <w:pStyle w:val="Normal"/>
        <w:rPr/>
      </w:pPr>
      <w:r>
        <w:rPr>
          <w:b/>
          <w:bCs/>
        </w:rPr>
        <w:t>Formy vzdělávání:   </w:t>
      </w:r>
    </w:p>
    <w:p>
      <w:pPr>
        <w:pStyle w:val="Normal"/>
        <w:spacing w:before="240" w:after="240"/>
        <w:rPr/>
      </w:pPr>
      <w:r>
        <w:rPr/>
        <w:t>Předškolní vzdělávání uskutečňujeme formou vyvážených spontánních i řizených aktivit, dle potřeb a možností konkrétní skupiny. Specifickou formou je didakticky cílená činnost (přímo či nepřímo řízená), v níž je zastoupeno spontánní i záměrné učení. Je založeno na aktivní účasti dětí, omezující příjímání hotových poznatků a využívající zejména prožitkového, kooperativního a situačního učení. Zajišťujeme také dostatek prostoru pro hru, relaxaci a odpočinkové činnosti.  </w:t>
      </w:r>
    </w:p>
    <w:p>
      <w:pPr>
        <w:pStyle w:val="Normal"/>
        <w:rPr/>
      </w:pPr>
      <w:r>
        <w:rPr/>
        <w:br/>
      </w:r>
    </w:p>
    <w:p>
      <w:pPr>
        <w:pStyle w:val="Normal"/>
        <w:rPr/>
      </w:pPr>
      <w:r>
        <w:rPr/>
      </w:r>
    </w:p>
    <w:p>
      <w:pPr>
        <w:pStyle w:val="Normal"/>
        <w:rPr/>
      </w:pPr>
      <w:r>
        <w:rPr/>
      </w:r>
    </w:p>
    <w:p>
      <w:pPr>
        <w:pStyle w:val="Normal"/>
        <w:rPr/>
      </w:pPr>
      <w:bookmarkStart w:id="25" w:name="_GoBack"/>
      <w:bookmarkEnd w:id="25"/>
      <w:r>
        <w:rPr/>
        <w:t>M</w:t>
      </w:r>
      <w:r>
        <w:rPr>
          <w:b/>
          <w:bCs/>
        </w:rPr>
        <w:t>etody vzdělávání:   </w:t>
      </w:r>
    </w:p>
    <w:p>
      <w:pPr>
        <w:pStyle w:val="Normal"/>
        <w:spacing w:before="240" w:after="240"/>
        <w:rPr/>
      </w:pPr>
      <w:r>
        <w:rPr>
          <w:b/>
          <w:bCs/>
        </w:rPr>
        <w:t>Prožitkové učení  </w:t>
      </w:r>
      <w:r>
        <w:rPr/>
        <w:t> tvoří pilíř vzdělání, z osobní zkušenosti lze vyytěžit víc, než slyšíme nebo čteme. Děti poznávají, prožívají, osahávají, porovnávají, hodnotí (základní myšlenka programu Začít spolu). Prostředkem jsou také pozitivní projevy i konflikty a jevy negativní. Prožitkové učení je nejefektivnější způsob učení, protože děti se učí na základě praktické zkušenosti - přímými zážitky. Budeme nadále promítat do všech činností školy, zejména při našem zaměření na sepětí školy s přírodou (sázení semínek, pozorování růstu, pozorování života v rybnících, lese, pozorování domácích zvířat, návštěvy statků).  </w:t>
      </w:r>
    </w:p>
    <w:p>
      <w:pPr>
        <w:pStyle w:val="Normal"/>
        <w:spacing w:before="240" w:after="240"/>
        <w:rPr/>
      </w:pPr>
      <w:r>
        <w:rPr>
          <w:b/>
          <w:bCs/>
        </w:rPr>
        <w:t>Kooperativní učení   </w:t>
      </w:r>
      <w:r>
        <w:rPr/>
        <w:t>je postaveno na spolupráci dětí při řešení společných problémů.  </w:t>
      </w:r>
    </w:p>
    <w:p>
      <w:pPr>
        <w:pStyle w:val="Normal"/>
        <w:spacing w:before="240" w:after="240"/>
        <w:rPr/>
      </w:pPr>
      <w:r>
        <w:rPr>
          <w:b/>
          <w:bCs/>
        </w:rPr>
        <w:t>Komunitní kruh  </w:t>
      </w:r>
      <w:r>
        <w:rPr/>
        <w:t>pomáhá rozvoji vztahů a vytváření soudržnosti, vytváření bezpečného klimatu třídy.  </w:t>
      </w:r>
    </w:p>
    <w:p>
      <w:pPr>
        <w:pStyle w:val="Normal"/>
        <w:rPr/>
      </w:pPr>
      <w:r>
        <w:rPr/>
      </w:r>
    </w:p>
    <w:p>
      <w:pPr>
        <w:pStyle w:val="Heading2"/>
        <w:spacing w:before="299" w:after="299"/>
        <w:ind w:hanging="578" w:left="578"/>
        <w:rPr/>
      </w:pPr>
      <w:bookmarkStart w:id="26" w:name="_Toc256000028"/>
      <w:r>
        <w:rPr/>
        <w:t>Zajištění vzdělávání dětí se speciálními vzdělávacími potřebami a dětí nadaných</w:t>
      </w:r>
      <w:bookmarkEnd w:id="26"/>
      <w:r>
        <w:rPr/>
        <w:t> </w:t>
      </w:r>
    </w:p>
    <w:p>
      <w:pPr>
        <w:pStyle w:val="Normal"/>
        <w:spacing w:before="240" w:after="240"/>
        <w:rPr/>
      </w:pPr>
      <w:r>
        <w:rPr/>
        <w:t>Při vzdělávání dítěte se speciálními vzdělávacími potřebami učitel zahrnuje do svých vzdělávacích strategií podpůrná opatření. Podpůrná opatření prvního stupně stanovuje mateřská škola. Od druhého stupně podpory jsou podpůrná opatření stanovována školským poradenským zařízením po projednání se školou a zákonným zástupcem dítěte.  </w:t>
      </w:r>
    </w:p>
    <w:p>
      <w:pPr>
        <w:pStyle w:val="Normal"/>
        <w:spacing w:before="240" w:after="240"/>
        <w:rPr/>
      </w:pPr>
      <w:r>
        <w:rPr/>
        <w:t>Pro děti s přiznanými podpůrnými opatřeními prvního stupně je ŠVP podkladem pro zpracování plánu pedagogické podpory (PLPP) a pro děti s přiznanými podpůrnými opatřeními od druhého stupně podkladem pro tvorbu individuálního vzdělávacího plánu (IVP).  </w:t>
      </w:r>
    </w:p>
    <w:p>
      <w:pPr>
        <w:pStyle w:val="Normal"/>
        <w:spacing w:before="240" w:after="240"/>
        <w:rPr/>
      </w:pPr>
      <w:r>
        <w:rPr/>
        <w:t>PLPP zahrnuje popis obtíží a speciálních vzdělávacích potřeb dítěte a z nich vycházející podpůrná opatření, stanovení cílů podpory a způsobu vyhodnocení. Na jeho tvorbě spolupracují třídní učitelé a zákonní zástupci dítěte.  Vyhodnocuje se nejpozději po třech měsících.  </w:t>
      </w:r>
    </w:p>
    <w:p>
      <w:pPr>
        <w:pStyle w:val="Normal"/>
        <w:rPr/>
      </w:pPr>
      <w:r>
        <w:rPr/>
      </w:r>
    </w:p>
    <w:p>
      <w:pPr>
        <w:pStyle w:val="Heading2"/>
        <w:spacing w:before="299" w:after="299"/>
        <w:ind w:hanging="578" w:left="578"/>
        <w:rPr/>
      </w:pPr>
      <w:bookmarkStart w:id="27" w:name="_Toc256000029"/>
      <w:r>
        <w:rPr/>
        <w:t>Zajištění průběhu vzdělávání dětí od dvou do tří let</w:t>
      </w:r>
      <w:bookmarkEnd w:id="27"/>
      <w:r>
        <w:rPr/>
        <w:t> </w:t>
      </w:r>
    </w:p>
    <w:p>
      <w:pPr>
        <w:sectPr>
          <w:headerReference w:type="default" r:id="rId22"/>
          <w:headerReference w:type="first" r:id="rId23"/>
          <w:footerReference w:type="default" r:id="rId24"/>
          <w:footerReference w:type="first" r:id="rId25"/>
          <w:type w:val="nextPage"/>
          <w:pgSz w:w="11906" w:h="16838"/>
          <w:pgMar w:left="1800" w:right="1325" w:gutter="0" w:header="720" w:top="1440" w:footer="720" w:bottom="1440"/>
          <w:pgNumType w:fmt="decimal"/>
          <w:formProt w:val="false"/>
          <w:textDirection w:val="lrTb"/>
          <w:docGrid w:type="default" w:linePitch="100" w:charSpace="0"/>
        </w:sectPr>
        <w:pStyle w:val="Normal"/>
        <w:spacing w:before="240" w:after="240"/>
        <w:rPr/>
      </w:pPr>
      <w:r>
        <w:rPr/>
        <w:t>V nízkém počtu dětí ve třídě je prostor pro vhodné reagování na jejich rozdílné potřeby. Je zajištěn pravidelný režim dne a rituály. Dětem je ponechán co největší prostor pro volné hry a pohyb.  </w:t>
      </w:r>
    </w:p>
    <w:p>
      <w:pPr>
        <w:pStyle w:val="Heading1"/>
        <w:spacing w:before="0" w:after="0"/>
        <w:ind w:hanging="431" w:left="431"/>
        <w:rPr/>
      </w:pPr>
      <w:bookmarkStart w:id="28" w:name="_Toc256000031"/>
      <w:r>
        <w:rPr/>
        <w:t>Vzdělávací obsah</w:t>
      </w:r>
      <w:bookmarkEnd w:id="28"/>
      <w:r>
        <w:rPr/>
        <w:t> </w:t>
      </w:r>
    </w:p>
    <w:p>
      <w:pPr>
        <w:pStyle w:val="Heading2"/>
        <w:spacing w:before="299" w:after="0"/>
        <w:ind w:hanging="578" w:left="578"/>
        <w:rPr/>
      </w:pPr>
      <w:bookmarkStart w:id="29" w:name="_Toc256000032"/>
      <w:r>
        <w:rPr/>
        <w:t>Integrované bloky</w:t>
      </w:r>
      <w:bookmarkEnd w:id="29"/>
      <w:r>
        <w:rPr/>
        <w:t> </w:t>
      </w:r>
    </w:p>
    <w:p>
      <w:pPr>
        <w:pStyle w:val="Heading3"/>
        <w:spacing w:before="281" w:after="281"/>
        <w:rPr/>
      </w:pPr>
      <w:bookmarkStart w:id="30" w:name="_Toc256000033"/>
      <w:r>
        <w:rPr>
          <w:sz w:val="28"/>
          <w:szCs w:val="28"/>
        </w:rPr>
        <w:t>Objevujeme svět</w:t>
      </w:r>
      <w:bookmarkEnd w:id="30"/>
      <w:r>
        <w:rPr>
          <w:sz w:val="28"/>
          <w:szCs w:val="28"/>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9187"/>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rFonts w:cs="Times New Roman"/>
                <w:kern w:val="0"/>
                <w:lang w:val="cs-CZ" w:eastAsia="cs-CZ" w:bidi="ar-SA"/>
              </w:rPr>
            </w:pPr>
            <w:r>
              <w:rPr>
                <w:rFonts w:eastAsia="Calibri" w:cs="Calibri"/>
                <w:kern w:val="0"/>
                <w:lang w:val="cs-CZ" w:eastAsia="cs-CZ" w:bidi="ar-SA"/>
              </w:rPr>
              <w:t>Název integrovaného bloku</w:t>
            </w:r>
          </w:p>
        </w:tc>
        <w:tc>
          <w:tcPr>
            <w:tcW w:w="9187"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rFonts w:cs="Times New Roman"/>
                <w:kern w:val="0"/>
                <w:lang w:val="cs-CZ" w:eastAsia="cs-CZ" w:bidi="ar-SA"/>
              </w:rPr>
            </w:pPr>
            <w:r>
              <w:rPr>
                <w:rFonts w:eastAsia="Calibri" w:cs="Calibri"/>
                <w:kern w:val="0"/>
                <w:lang w:val="cs-CZ" w:eastAsia="cs-CZ" w:bidi="ar-SA"/>
              </w:rPr>
              <w:t>Objevujeme svět</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rFonts w:cs="Times New Roman"/>
                <w:kern w:val="0"/>
                <w:lang w:val="cs-CZ" w:eastAsia="cs-CZ" w:bidi="ar-SA"/>
              </w:rPr>
            </w:pPr>
            <w:r>
              <w:rPr>
                <w:rFonts w:eastAsia="Calibri" w:cs="Calibri"/>
                <w:kern w:val="0"/>
                <w:lang w:val="cs-CZ" w:eastAsia="cs-CZ" w:bidi="ar-SA"/>
              </w:rPr>
              <w:t>Oblast</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rFonts w:cs="Times New Roman"/>
                <w:kern w:val="0"/>
                <w:lang w:val="cs-CZ" w:eastAsia="cs-CZ" w:bidi="ar-SA"/>
              </w:rPr>
            </w:pPr>
            <w:r>
              <w:rPr>
                <w:rFonts w:eastAsia="Calibri" w:cs="Calibri"/>
                <w:kern w:val="0"/>
                <w:lang w:val="cs-CZ" w:eastAsia="cs-CZ" w:bidi="ar-SA"/>
              </w:rPr>
              <w:t>Dítě a jeho tělo, Dítě a jeho psychika, Dítě a ten druhý, Dítě a společnost, Dítě a svět</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rFonts w:cs="Times New Roman"/>
                <w:kern w:val="0"/>
                <w:lang w:val="cs-CZ" w:eastAsia="cs-CZ" w:bidi="ar-SA"/>
              </w:rPr>
            </w:pPr>
            <w:r>
              <w:rPr>
                <w:rFonts w:eastAsia="Calibri" w:cs="Calibri"/>
                <w:kern w:val="0"/>
                <w:lang w:val="cs-CZ" w:eastAsia="cs-CZ" w:bidi="ar-SA"/>
              </w:rPr>
              <w:t>Charakteristika integrovaného bloku</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rFonts w:cs="Times New Roman"/>
                <w:kern w:val="0"/>
                <w:lang w:val="cs-CZ" w:eastAsia="cs-CZ" w:bidi="ar-SA"/>
              </w:rPr>
            </w:pPr>
            <w:r>
              <w:rPr>
                <w:rFonts w:eastAsia="Calibri" w:cs="Calibri"/>
                <w:kern w:val="0"/>
                <w:lang w:val="cs-CZ" w:eastAsia="cs-CZ" w:bidi="ar-SA"/>
              </w:rPr>
              <w:t>Hlavním cílem integrovaného bloku je rozvoj schopnosti žít ve společenství ostatních lidí (spolupracovat, spolupodílet se), přináležet k tomuto společenství (ke třídě, k rodině, k ostatním dětem), vnímat a přijímat základní hodnoty v tomto společenství uznávané. Dále se budeme soustředit na rozvoj úcty k životu ve všech formách, seznamovat se s prostředím, kde dítě žije a vytváření pozitivního vztahu k němu.</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rFonts w:cs="Times New Roman"/>
                <w:kern w:val="0"/>
                <w:lang w:val="cs-CZ" w:eastAsia="cs-CZ" w:bidi="ar-SA"/>
              </w:rPr>
            </w:pPr>
            <w:r>
              <w:rPr>
                <w:rFonts w:eastAsia="Calibri" w:cs="Calibri"/>
                <w:kern w:val="0"/>
                <w:lang w:val="cs-CZ" w:eastAsia="cs-CZ" w:bidi="ar-SA"/>
              </w:rPr>
              <w:t>Návrhy dílčích témat pro realizaci</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numPr>
                <w:ilvl w:val="0"/>
                <w:numId w:val="3"/>
              </w:numPr>
              <w:spacing w:lineRule="auto" w:line="240" w:before="0" w:after="0"/>
              <w:jc w:val="left"/>
              <w:rPr>
                <w:rFonts w:cs="Times New Roman"/>
                <w:kern w:val="0"/>
                <w:lang w:val="cs-CZ" w:eastAsia="cs-CZ" w:bidi="ar-SA"/>
              </w:rPr>
            </w:pPr>
            <w:r>
              <w:rPr>
                <w:rFonts w:eastAsia="Calibri" w:cs="Calibri"/>
                <w:kern w:val="0"/>
                <w:lang w:val="cs-CZ" w:eastAsia="cs-CZ" w:bidi="ar-SA"/>
              </w:rPr>
              <w:t>Naše školka</w:t>
            </w:r>
          </w:p>
          <w:p>
            <w:pPr>
              <w:pStyle w:val="Normal"/>
              <w:widowControl/>
              <w:numPr>
                <w:ilvl w:val="0"/>
                <w:numId w:val="3"/>
              </w:numPr>
              <w:spacing w:lineRule="auto" w:line="240" w:before="0" w:after="0"/>
              <w:jc w:val="left"/>
              <w:rPr>
                <w:rFonts w:cs="Times New Roman"/>
                <w:kern w:val="0"/>
                <w:lang w:val="cs-CZ" w:eastAsia="cs-CZ" w:bidi="ar-SA"/>
              </w:rPr>
            </w:pPr>
            <w:r>
              <w:rPr>
                <w:rFonts w:eastAsia="Calibri" w:cs="Calibri"/>
                <w:kern w:val="0"/>
                <w:lang w:val="cs-CZ" w:eastAsia="cs-CZ" w:bidi="ar-SA"/>
              </w:rPr>
              <w:t>Město a vesnice</w:t>
            </w:r>
          </w:p>
          <w:p>
            <w:pPr>
              <w:pStyle w:val="Normal"/>
              <w:widowControl/>
              <w:numPr>
                <w:ilvl w:val="0"/>
                <w:numId w:val="3"/>
              </w:numPr>
              <w:spacing w:lineRule="auto" w:line="240" w:before="0" w:after="0"/>
              <w:jc w:val="left"/>
              <w:rPr>
                <w:rFonts w:cs="Times New Roman"/>
                <w:kern w:val="0"/>
                <w:lang w:val="cs-CZ" w:eastAsia="cs-CZ" w:bidi="ar-SA"/>
              </w:rPr>
            </w:pPr>
            <w:r>
              <w:rPr>
                <w:rFonts w:eastAsia="Calibri" w:cs="Calibri"/>
                <w:kern w:val="0"/>
                <w:lang w:val="cs-CZ" w:eastAsia="cs-CZ" w:bidi="ar-SA"/>
              </w:rPr>
              <w:t>Lidé z jiných zemí</w:t>
            </w:r>
          </w:p>
          <w:p>
            <w:pPr>
              <w:pStyle w:val="Normal"/>
              <w:widowControl/>
              <w:numPr>
                <w:ilvl w:val="0"/>
                <w:numId w:val="3"/>
              </w:numPr>
              <w:spacing w:lineRule="auto" w:line="240" w:before="0" w:after="0"/>
              <w:jc w:val="left"/>
              <w:rPr>
                <w:rFonts w:cs="Times New Roman"/>
                <w:kern w:val="0"/>
                <w:lang w:val="cs-CZ" w:eastAsia="cs-CZ" w:bidi="ar-SA"/>
              </w:rPr>
            </w:pPr>
            <w:r>
              <w:rPr>
                <w:rFonts w:eastAsia="Calibri" w:cs="Calibri"/>
                <w:kern w:val="0"/>
                <w:lang w:val="cs-CZ" w:eastAsia="cs-CZ" w:bidi="ar-SA"/>
              </w:rPr>
              <w:t>Rodina</w:t>
            </w:r>
          </w:p>
          <w:p>
            <w:pPr>
              <w:pStyle w:val="Normal"/>
              <w:widowControl/>
              <w:numPr>
                <w:ilvl w:val="0"/>
                <w:numId w:val="3"/>
              </w:numPr>
              <w:spacing w:lineRule="auto" w:line="240" w:before="0" w:after="0"/>
              <w:jc w:val="left"/>
              <w:rPr>
                <w:rFonts w:cs="Times New Roman"/>
                <w:kern w:val="0"/>
                <w:lang w:val="cs-CZ" w:eastAsia="cs-CZ" w:bidi="ar-SA"/>
              </w:rPr>
            </w:pPr>
            <w:r>
              <w:rPr>
                <w:rFonts w:eastAsia="Calibri" w:cs="Calibri"/>
                <w:kern w:val="0"/>
                <w:lang w:val="cs-CZ" w:eastAsia="cs-CZ" w:bidi="ar-SA"/>
              </w:rPr>
              <w:t>Vesmír</w:t>
            </w:r>
          </w:p>
          <w:p>
            <w:pPr>
              <w:pStyle w:val="Normal"/>
              <w:widowControl/>
              <w:numPr>
                <w:ilvl w:val="0"/>
                <w:numId w:val="3"/>
              </w:numPr>
              <w:spacing w:lineRule="auto" w:line="240" w:before="0" w:after="0"/>
              <w:jc w:val="left"/>
              <w:rPr>
                <w:rFonts w:cs="Times New Roman"/>
                <w:kern w:val="0"/>
                <w:lang w:val="cs-CZ" w:eastAsia="cs-CZ" w:bidi="ar-SA"/>
              </w:rPr>
            </w:pPr>
            <w:r>
              <w:rPr>
                <w:rFonts w:eastAsia="Calibri" w:cs="Calibri"/>
                <w:kern w:val="0"/>
                <w:lang w:val="cs-CZ" w:eastAsia="cs-CZ" w:bidi="ar-SA"/>
              </w:rPr>
              <w:t>Povolání</w:t>
            </w:r>
          </w:p>
          <w:p>
            <w:pPr>
              <w:pStyle w:val="Normal"/>
              <w:widowControl/>
              <w:numPr>
                <w:ilvl w:val="0"/>
                <w:numId w:val="3"/>
              </w:numPr>
              <w:spacing w:lineRule="auto" w:line="240" w:before="0" w:after="0"/>
              <w:jc w:val="left"/>
              <w:rPr>
                <w:rFonts w:cs="Times New Roman"/>
                <w:kern w:val="0"/>
                <w:lang w:val="cs-CZ" w:eastAsia="cs-CZ" w:bidi="ar-SA"/>
              </w:rPr>
            </w:pPr>
            <w:r>
              <w:rPr>
                <w:rFonts w:eastAsia="Calibri" w:cs="Calibri"/>
                <w:kern w:val="0"/>
                <w:szCs w:val="22"/>
                <w:lang w:val="cs-CZ" w:eastAsia="cs-CZ" w:bidi="ar-SA"/>
              </w:rPr>
              <w:t>Doprava</w:t>
            </w:r>
          </w:p>
        </w:tc>
      </w:tr>
    </w:tbl>
    <w:p>
      <w:pPr>
        <w:pStyle w:val="Normal"/>
        <w:rPr/>
      </w:pPr>
      <w:r>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3879"/>
        <w:gridCol w:w="5309"/>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Klíčové kompetence</w:t>
            </w:r>
          </w:p>
        </w:tc>
        <w:tc>
          <w:tcPr>
            <w:tcW w:w="3879"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Dílčí cíle</w:t>
            </w:r>
          </w:p>
        </w:tc>
        <w:tc>
          <w:tcPr>
            <w:tcW w:w="5309"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Očekávané výstupy</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si uvědomuje, že za sebe i své jednání odpovídá a nese důsledky</w:t>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získání relativní citové samostatnosti</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odloučit se na určitou dobu od rodičů a blízkých, být aktivní i bez jejich opory</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ve známých a opakujících se situacích a v situacích, kterým rozumí, ovládat svoje city a přizpůsobovat jim své chování</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má elementární poznatky o světě lidí, kultury, přírody i techniky, který dítě obklopuje, o jeho rozmanitostech a proměnách; orientuje se v řádu a dění v prostředí, ve kterém žije</w:t>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seznamování se světem lidí, kultury a umění, osvojení si základních poznatků o prostředí, v němž dítě žije</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osvojit si elementární poznatky o okolním prostředí, které jsou dítěti blízké, pro ně smysluplné a přínosné, zajímavé a jemu pochopitelné a využitelné pro další učení a životní praxi</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projevuje dětským způsobem citlivost a ohleduplnost k druhým, pomoc slabším, rozpozná nevhodné chování; vnímá nespravedlnost, ubližování, agresivitu a lhostejnost</w:t>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posilování prosociálního chování ve vztahu k ostatním lidem (v rodině, v mateřské škole, v dětské herní skupině apod.)</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uvědomovat si svá práva ve vztahu k druhému, přiznávat stejná práva druhým a respektovat je</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pochopit, že každý má ve společenství (v rodině, ve třídě, v herní skupině) svou roli, podle které je třeba se chovat</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navazovat kontakty s dospělým, kterému je svěřeno do péče, překonat stud, komunikovat s ním vhodným způsobem, respektovat ho</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osvojení si elementárních poznatků, schopností a dovedností důležitých pro navazování a rozvíjení vztahů dítěte k druhým lidem</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přirozeně a bez zábran komunikovat s druhým dítětem, navazovat a udržovat dětská přátelství</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uplatňovat své individuální potřeby, přání a práva s ohledem na druhého (obhajovat svůj postoj nebo názor, respektovat jiný postoj či názor), přijímat a uzavírat kompromisy, řešit konflikt dohodou</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napodobuje modely prosociálního chování a mezilidských vztahů, které nachází ve svém okolí</w:t>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poznávání pravidel společenského soužití a jejich spoluvytváření v rámci přirozeného sociokulturního prostředí, porozumění základním projevům neverbální komunikace obvyklým v tomto prostředí</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má smysl pro povinnost ve hře, práci i učení; k úkolům a povinnostem přistupuje odpovědně; váží si práce i úsilí druhých</w:t>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seznamování s pravidly chování ve vztahu k druhému</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dodržovat dohodnutá a pochopená pravidla vzájemného soužití a chování doma, v mateřské škole, na veřejnosti, dodržovat herní pravidla</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dovede využít informativní a komunikativní prostředky, se kterými se běžně setkává (knížky, encyklopedie, počítač, audiovizuální technika, telefon atp.)</w:t>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základů pro práci s informacemi</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rozlišovat některé obrazné symboly (piktogramy, orientační a dopravní značky, označení nebezpečí apod.) a porozumět jejich významu i jejich komunikativní funkci</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chová při setkání s neznámými lidmi či v neznámých situacích obezřetně; nevhodné chování i komunikaci, která je mu nepříjemná, umí odmítnout</w:t>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seznamování s pravidly chování ve vztahu k druhému</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dodržovat dohodnutá a pochopená pravidla vzájemného soužití a chování doma, v mateřské škole, na veřejnosti, dodržovat herní pravidla</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ví, že lidé se dorozumívají i jinými jazyky a že je možno se jim učit; má vytvořeny elementární předpoklady k učení se cizímu jazyku</w:t>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poznávání jiných kultur</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chápat, že všichni lidé (děti) mají stejnou hodnotu, přestože je každý jiný (jinak vypadá, jinak se chová, něco jiného umí či neumí apod.), že osobní, resp. osobnostní odlišnosti jsou přirozené</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povědomí o existenci ostatních kultur a národností</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je schopno chápat, že lidé se různí, a umí být tolerantní k jejich odlišnostem a jedinečnostem</w:t>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povědomí o existenci ostatních kultur a národností</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má základní dětskou představu o tom, co je v souladu se základními lidskými hodnotami a normami i co je s nimi v rozporu, a snaží se podle toho chovat</w:t>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respektovat předem vyjasněná a pochopená pravidla, přijímat vyjasněné a zdůvodněné povinnosti</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dodržovat pravidla her a jiných činností, jednat spravedlivě, hrát fair</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chápe, že nespravedlnost, ubližování, ponižování, lhostejnost, agresivita a násilí se nevyplácí a že vzniklé konflikty je lépe řešit dohodou; dokáže se bránit projevům násilí jiného dítěte, ponižování a ubližování</w:t>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prosociálních postojů (rozvoj sociální citlivosti, tolerance, respektu, přizpůsobivosti apod.)</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bránit se projevům násilí jiného dítěte, ubližování, ponižování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vnímat, co si druhý přeje či potřebuje, vycházet mu vstříc (chovat se citlivě a ohleduplně k slabšímu či postiženému dítěti, mít ohled na druhého a soucítit s ním, nabídnout mu pomoc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respektovat potřeby jiného dítěte, dělit se s ním o hračky, pomůcky, pamlsky, rozdělit si úkol s jiným dítětem apod.</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spoluvytváří pravidla společného soužití mezi vrstevníky, rozumí jejich smyslu a chápe potřebu je zachovávat</w:t>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základů pro práci s informacemi</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rozlišovat některé obrazné symboly (piktogramy, orientační a dopravní značky, označení nebezpečí apod.) a porozumět jejich významu i jejich komunikativní funkci</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začlenit se do třídy a zařadit se mezi své vrstevníky, respektovat jejich rozdílné vlastnosti, schopnosti a dovednosti</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ví, že není jedno, v jakém prostředí žije, uvědomuje si, že se svým chováním na něm podílí a že je může ovlivnit</w:t>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seznamování s místem a prostředím, ve kterém dítě žije, a vytváření pozitivního vztahu k němu</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orientovat se bezpečně ve známém prostředí i v životě tohoto prostředí (doma, v budově mateřské školy, v blízkém okolí)</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87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seznamování se světem lidí, kultury a umění, osvojení si základních poznatků o prostředí, v němž dítě žije</w:t>
            </w:r>
          </w:p>
        </w:tc>
        <w:tc>
          <w:tcPr>
            <w:tcW w:w="5309"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osvojit si elementární poznatky o okolním prostředí, které jsou dítěti blízké, pro ně smysluplné a přínosné, zajímavé a jemu pochopitelné a využitelné pro další učení a životní praxi</w:t>
            </w:r>
          </w:p>
        </w:tc>
      </w:tr>
    </w:tbl>
    <w:p>
      <w:pPr>
        <w:pStyle w:val="Normal"/>
        <w:rPr/>
      </w:pPr>
      <w:r>
        <w:rPr/>
        <w:t>    </w:t>
      </w:r>
    </w:p>
    <w:p>
      <w:pPr>
        <w:pStyle w:val="Heading3"/>
        <w:spacing w:before="281" w:after="281"/>
        <w:rPr/>
      </w:pPr>
      <w:bookmarkStart w:id="31" w:name="_Toc256000034"/>
      <w:r>
        <w:rPr>
          <w:sz w:val="28"/>
          <w:szCs w:val="28"/>
        </w:rPr>
        <w:t>Tradice a slavnosti</w:t>
      </w:r>
      <w:bookmarkEnd w:id="31"/>
      <w:r>
        <w:rPr>
          <w:sz w:val="28"/>
          <w:szCs w:val="28"/>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9187"/>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Název integrovaného bloku</w:t>
            </w:r>
          </w:p>
        </w:tc>
        <w:tc>
          <w:tcPr>
            <w:tcW w:w="9187"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kern w:val="0"/>
                <w:lang w:val="cs-CZ" w:eastAsia="cs-CZ" w:bidi="ar-SA"/>
              </w:rPr>
              <w:t>Tradice a slavnosti</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Oblast</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Dítě a jeho tělo, Dítě a jeho psychika, Dítě a ten druhý, Dítě a společnost, Dítě a svět</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Charakteristika integrovaného bloku</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Hlavním cílem bloku je rozvoj úcty k tradicím a hodnotám, které vytvořili naši předkové, rozvoj citového prožívání a rozvoj sounáležitosti.</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Návrhy dílčích témat pro realizaci</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numPr>
                <w:ilvl w:val="0"/>
                <w:numId w:val="4"/>
              </w:numPr>
              <w:spacing w:lineRule="auto" w:line="240" w:before="0" w:after="0"/>
              <w:jc w:val="left"/>
              <w:rPr/>
            </w:pPr>
            <w:r>
              <w:rPr>
                <w:rFonts w:eastAsia="Calibri" w:cs="Calibri"/>
                <w:kern w:val="0"/>
                <w:lang w:val="cs-CZ" w:eastAsia="cs-CZ" w:bidi="ar-SA"/>
              </w:rPr>
              <w:t>Sv. Martin</w:t>
            </w:r>
          </w:p>
          <w:p>
            <w:pPr>
              <w:pStyle w:val="Normal"/>
              <w:widowControl/>
              <w:numPr>
                <w:ilvl w:val="0"/>
                <w:numId w:val="4"/>
              </w:numPr>
              <w:spacing w:lineRule="auto" w:line="240" w:before="0" w:after="0"/>
              <w:jc w:val="left"/>
              <w:rPr/>
            </w:pPr>
            <w:r>
              <w:rPr>
                <w:rFonts w:eastAsia="Calibri" w:cs="Calibri"/>
                <w:kern w:val="0"/>
                <w:lang w:val="cs-CZ" w:eastAsia="cs-CZ" w:bidi="ar-SA"/>
              </w:rPr>
              <w:t>Mikuláš</w:t>
            </w:r>
          </w:p>
          <w:p>
            <w:pPr>
              <w:pStyle w:val="Normal"/>
              <w:widowControl/>
              <w:numPr>
                <w:ilvl w:val="0"/>
                <w:numId w:val="4"/>
              </w:numPr>
              <w:spacing w:lineRule="auto" w:line="240" w:before="0" w:after="0"/>
              <w:jc w:val="left"/>
              <w:rPr/>
            </w:pPr>
            <w:r>
              <w:rPr>
                <w:rFonts w:eastAsia="Calibri" w:cs="Calibri"/>
                <w:kern w:val="0"/>
                <w:lang w:val="cs-CZ" w:eastAsia="cs-CZ" w:bidi="ar-SA"/>
              </w:rPr>
              <w:t>Advent a Vánoce</w:t>
            </w:r>
          </w:p>
          <w:p>
            <w:pPr>
              <w:pStyle w:val="Normal"/>
              <w:widowControl/>
              <w:numPr>
                <w:ilvl w:val="0"/>
                <w:numId w:val="4"/>
              </w:numPr>
              <w:spacing w:lineRule="auto" w:line="240" w:before="0" w:after="0"/>
              <w:jc w:val="left"/>
              <w:rPr/>
            </w:pPr>
            <w:r>
              <w:rPr>
                <w:rFonts w:eastAsia="Calibri" w:cs="Calibri"/>
                <w:kern w:val="0"/>
                <w:lang w:val="cs-CZ" w:eastAsia="cs-CZ" w:bidi="ar-SA"/>
              </w:rPr>
              <w:t>Tři králové</w:t>
            </w:r>
          </w:p>
          <w:p>
            <w:pPr>
              <w:pStyle w:val="Normal"/>
              <w:widowControl/>
              <w:numPr>
                <w:ilvl w:val="0"/>
                <w:numId w:val="4"/>
              </w:numPr>
              <w:spacing w:lineRule="auto" w:line="240" w:before="0" w:after="0"/>
              <w:jc w:val="left"/>
              <w:rPr/>
            </w:pPr>
            <w:r>
              <w:rPr>
                <w:rFonts w:eastAsia="Calibri" w:cs="Calibri"/>
                <w:kern w:val="0"/>
                <w:lang w:val="cs-CZ" w:eastAsia="cs-CZ" w:bidi="ar-SA"/>
              </w:rPr>
              <w:t>Masopust</w:t>
            </w:r>
          </w:p>
          <w:p>
            <w:pPr>
              <w:pStyle w:val="Normal"/>
              <w:widowControl/>
              <w:numPr>
                <w:ilvl w:val="0"/>
                <w:numId w:val="4"/>
              </w:numPr>
              <w:spacing w:lineRule="auto" w:line="240" w:before="0" w:after="0"/>
              <w:jc w:val="left"/>
              <w:rPr/>
            </w:pPr>
            <w:r>
              <w:rPr>
                <w:rFonts w:eastAsia="Calibri" w:cs="Calibri"/>
                <w:kern w:val="0"/>
                <w:lang w:val="cs-CZ" w:eastAsia="cs-CZ" w:bidi="ar-SA"/>
              </w:rPr>
              <w:t>Velikonoce</w:t>
            </w:r>
          </w:p>
          <w:p>
            <w:pPr>
              <w:pStyle w:val="Normal"/>
              <w:widowControl/>
              <w:numPr>
                <w:ilvl w:val="0"/>
                <w:numId w:val="4"/>
              </w:numPr>
              <w:spacing w:lineRule="auto" w:line="240" w:before="0" w:after="0"/>
              <w:jc w:val="left"/>
              <w:rPr/>
            </w:pPr>
            <w:r>
              <w:rPr>
                <w:rFonts w:eastAsia="Calibri" w:cs="Calibri"/>
                <w:kern w:val="0"/>
                <w:lang w:val="cs-CZ" w:eastAsia="cs-CZ" w:bidi="ar-SA"/>
              </w:rPr>
              <w:t>Den rodin</w:t>
            </w:r>
          </w:p>
          <w:p>
            <w:pPr>
              <w:pStyle w:val="Normal"/>
              <w:widowControl/>
              <w:numPr>
                <w:ilvl w:val="0"/>
                <w:numId w:val="4"/>
              </w:numPr>
              <w:spacing w:lineRule="auto" w:line="240" w:before="0" w:after="0"/>
              <w:jc w:val="left"/>
              <w:rPr/>
            </w:pPr>
            <w:r>
              <w:rPr>
                <w:rFonts w:eastAsia="Calibri" w:cs="Calibri"/>
                <w:kern w:val="0"/>
                <w:szCs w:val="22"/>
                <w:lang w:val="cs-CZ" w:eastAsia="cs-CZ" w:bidi="ar-SA"/>
              </w:rPr>
              <w:t>Mezinárodní den dětí</w:t>
            </w:r>
          </w:p>
        </w:tc>
      </w:tr>
    </w:tbl>
    <w:p>
      <w:pPr>
        <w:pStyle w:val="Normal"/>
        <w:rPr/>
      </w:pPr>
      <w:r>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4134"/>
        <w:gridCol w:w="5054"/>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Klíčové kompetence</w:t>
            </w:r>
          </w:p>
        </w:tc>
        <w:tc>
          <w:tcPr>
            <w:tcW w:w="4134"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Dílčí cíle</w:t>
            </w:r>
          </w:p>
        </w:tc>
        <w:tc>
          <w:tcPr>
            <w:tcW w:w="5054"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Očekávané výstupy</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ovládá řeč, hovoří ve vhodně formulovaných větách, samostatně vyjadřuje své myšlenky, sdělení, otázky i odpovědi, rozumí slyšenému, slovně reaguje a vede smysluplný dialog</w:t>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komunikativních dovedností (verbálních i neverbálních) a kultivovaného projevu</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naučit se nazpaměť krátké texty, úmyslně si zapamatovat a vybavit</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naučit se zpaměti krátké texty (reprodukovat říkanky, písničky, pohádky, zvládnout jednoduchou dramatickou úlohu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přemýšlet, vést jednoduché úvahy a to, o čem přemýšlí a uvažuje, také vyjádřit</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samostatně rozhoduje o svých činnostech; umí si vytvořit svůj názor a vyjádřit jej</w:t>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vytvoření základů aktivních postojů ke světu, k životu, pozitivních vztahů ke kultuře a umění, rozvoj dovedností umožňujících tyto vztahy a postoje vyjadřovat a projevovat</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vyjadřovat samostatně a smysluplně myšlenky, nápady, pocity, mínění a úsudky ve vhodně zformulovaných větách</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chovat se a jednat na základě vlastních pohnutek a zároveň s ohledem na druhé</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učí svoje činnosti a hry plánovat, organizovat, řídit a vyhodnocovat</w:t>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kooperativních dovedností</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spolupracovat s ostatními</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zorganizovat hru</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dokáže vyjadřovat a sdělovat své prožitky, pocity a nálady různými prostředky (řečovými, výtvarnými, hudebními, dramatickými apod.)</w:t>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společenského i estetického vkusu</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těšit se z hezkých a příjemných zážitků, z přírodních i kulturních krás i setkávání se s uměním</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vnímat umělecké a kulturní podněty, pozorně poslouchat, sledovat se zájmem literární, dramatické či hudební představení a hodnotit svoje zážitky (říci, co bylo zajímavé, co je zaujalo)</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a kultivace mravního i estetického vnímání, cítění a prožívání</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chápat slovní vtip a humor</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utvořit jednoduchý rým</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poznatků, schopností a dovedností umožňujících pocity, získané dojmy a prožitky vyjádřit</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vyjadřovat se prostřednictvím hudebních a hudebně pohybových činností, zvládat základní hudební dovednosti vokální i instrumentální (zazpívat píseň, zacházet s jednoduchými hudebními nástroji, sledovat a rozlišovat rytmus)</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porozumět běžným projevům vyjádření emocí a nálad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správně vyslovovat, ovládat dech, tempo i intonaci řeči</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domlouvá gesty i slovy, rozlišuje některé symboly, rozumí jejich významu i funkci</w:t>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interaktivních a komunikativních dovedností verbálních i neverbálních</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domluvit se slovy i gesty, improvizovat</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porozumět běžným neverbálním projevům citových prožitků a nálad druhých</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rozlišuje řešení, která jsou funkční (vedoucí k cíli), a řešení, která funkční nejsou; dokáže mezi nimi volit</w:t>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fyzické i psychické zdatnosti</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koordinovat lokomoci a další polohy a pohyby těla, sladit pohyb s rytmem a hudbou</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ovládat dechové svalstvo, sladit pohyb se zpěvem</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záměrně se soustředit na činnost a udržet pozornost</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učí s chutí, pokud se mu dostává uznání a ocenění</w:t>
            </w:r>
          </w:p>
        </w:tc>
        <w:tc>
          <w:tcPr>
            <w:tcW w:w="413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poznávání sebe sama, rozvoj pozitivních citů ve vztahu k sobě (uvědomění si vlastní identity, získání sebevědomí, sebedůvěry, osobní spokojenosti)</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přijímat pozitivní ocenění i svůj případný neúspěch a vyrovnat se s ním, učit se hodnotit svoje osobní pokroky</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chápe, že vyhýbat se řešení problémů nevede k cíli, ale že jejich včasné a uvážlivé řešení je naopak výhodou; uvědomuje si, že svou aktivitou a iniciativou může situaci ovlivnit</w:t>
            </w:r>
          </w:p>
        </w:tc>
        <w:tc>
          <w:tcPr>
            <w:tcW w:w="413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získání schopnosti záměrně řídit svoje chování a ovlivňovat vlastní situaci</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prožívat a dětským způsobem projevovat, co cítí (soucit, radost, náklonnost), snažit se ovládat své afektivní chování (odložit splnění svých osobních přání, zklidnit se, tlumit vztek, zlost, agresivitu apod.)</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nebojí chybovat, pokud nachází pozitivní ocenění nejen za úspěch, ale také za snahu</w:t>
            </w:r>
          </w:p>
        </w:tc>
        <w:tc>
          <w:tcPr>
            <w:tcW w:w="4134"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fyzické i psychické zdatnosti</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koordinovat lokomoci a další polohy a pohyby těla, sladit pohyb s rytmem a hudbou</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ovládat dechové svalstvo, sladit pohyb se zpěvem</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záměrně se soustředit na činnost a udržet pozornost</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13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poznávání sebe sama, rozvoj pozitivních citů ve vztahu k sobě (uvědomění si vlastní identity, získání sebevědomí, sebedůvěry, osobní spokojenosti)</w:t>
            </w:r>
          </w:p>
        </w:tc>
        <w:tc>
          <w:tcPr>
            <w:tcW w:w="5054"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přijímat pozitivní ocenění i svůj případný neúspěch a vyrovnat se s ním, učit se hodnotit svoje osobní pokroky</w:t>
            </w:r>
          </w:p>
        </w:tc>
      </w:tr>
    </w:tbl>
    <w:p>
      <w:pPr>
        <w:pStyle w:val="Normal"/>
        <w:rPr/>
      </w:pPr>
      <w:r>
        <w:rPr/>
        <w:t>    </w:t>
      </w:r>
    </w:p>
    <w:p>
      <w:pPr>
        <w:pStyle w:val="Heading3"/>
        <w:spacing w:before="281" w:after="281"/>
        <w:rPr/>
      </w:pPr>
      <w:bookmarkStart w:id="32" w:name="_Toc256000035"/>
      <w:r>
        <w:rPr>
          <w:sz w:val="28"/>
          <w:szCs w:val="28"/>
        </w:rPr>
        <w:t>Poznáváme přírodu</w:t>
      </w:r>
      <w:bookmarkEnd w:id="32"/>
      <w:r>
        <w:rPr>
          <w:sz w:val="28"/>
          <w:szCs w:val="28"/>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9187"/>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Název integrovaného bloku</w:t>
            </w:r>
          </w:p>
        </w:tc>
        <w:tc>
          <w:tcPr>
            <w:tcW w:w="9187"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kern w:val="0"/>
                <w:lang w:val="cs-CZ" w:eastAsia="cs-CZ" w:bidi="ar-SA"/>
              </w:rPr>
              <w:t>Poznáváme přírodu</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Oblast</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Dítě a jeho tělo, Dítě a jeho psychika, Dítě a ten druhý, Dítě a společnost, Dítě a svět</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Charakteristika integrovaného bloku</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Naučit děti vnímat změny v přírodě při střídání ročních období, poznávání a pozorování živé a neživé přírody. Uvědomění si, že prostředí lze chránit a zlepšovat, ale také poškozovat a ničit. Vytváření zdravého životního stylu a osvojení si poznatků o těle a zdraví.</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Návrhy dílčích témat pro realizaci</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numPr>
                <w:ilvl w:val="0"/>
                <w:numId w:val="5"/>
              </w:numPr>
              <w:spacing w:lineRule="auto" w:line="240" w:before="0" w:after="0"/>
              <w:jc w:val="left"/>
              <w:rPr/>
            </w:pPr>
            <w:r>
              <w:rPr>
                <w:rFonts w:eastAsia="Calibri" w:cs="Calibri"/>
                <w:kern w:val="0"/>
                <w:lang w:val="cs-CZ" w:eastAsia="cs-CZ" w:bidi="ar-SA"/>
              </w:rPr>
              <w:t>Příroda</w:t>
            </w:r>
          </w:p>
          <w:p>
            <w:pPr>
              <w:pStyle w:val="Normal"/>
              <w:widowControl/>
              <w:numPr>
                <w:ilvl w:val="0"/>
                <w:numId w:val="5"/>
              </w:numPr>
              <w:spacing w:lineRule="auto" w:line="240" w:before="0" w:after="0"/>
              <w:jc w:val="left"/>
              <w:rPr/>
            </w:pPr>
            <w:r>
              <w:rPr>
                <w:rFonts w:eastAsia="Calibri" w:cs="Calibri"/>
                <w:kern w:val="0"/>
                <w:lang w:val="cs-CZ" w:eastAsia="cs-CZ" w:bidi="ar-SA"/>
              </w:rPr>
              <w:t>Zvířata</w:t>
            </w:r>
          </w:p>
          <w:p>
            <w:pPr>
              <w:pStyle w:val="Normal"/>
              <w:widowControl/>
              <w:numPr>
                <w:ilvl w:val="0"/>
                <w:numId w:val="5"/>
              </w:numPr>
              <w:spacing w:lineRule="auto" w:line="240" w:before="0" w:after="0"/>
              <w:jc w:val="left"/>
              <w:rPr/>
            </w:pPr>
            <w:r>
              <w:rPr>
                <w:rFonts w:eastAsia="Calibri" w:cs="Calibri"/>
                <w:kern w:val="0"/>
                <w:lang w:val="cs-CZ" w:eastAsia="cs-CZ" w:bidi="ar-SA"/>
              </w:rPr>
              <w:t>Ekologie</w:t>
            </w:r>
          </w:p>
          <w:p>
            <w:pPr>
              <w:pStyle w:val="Normal"/>
              <w:widowControl/>
              <w:numPr>
                <w:ilvl w:val="0"/>
                <w:numId w:val="5"/>
              </w:numPr>
              <w:spacing w:lineRule="auto" w:line="240" w:before="0" w:after="0"/>
              <w:jc w:val="left"/>
              <w:rPr/>
            </w:pPr>
            <w:r>
              <w:rPr>
                <w:rFonts w:eastAsia="Calibri" w:cs="Calibri"/>
                <w:kern w:val="0"/>
                <w:szCs w:val="22"/>
                <w:lang w:val="cs-CZ" w:eastAsia="cs-CZ" w:bidi="ar-SA"/>
              </w:rPr>
              <w:t>Zdraví</w:t>
            </w:r>
          </w:p>
        </w:tc>
      </w:tr>
    </w:tbl>
    <w:p>
      <w:pPr>
        <w:pStyle w:val="Normal"/>
        <w:rPr/>
      </w:pPr>
      <w:r>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4452"/>
        <w:gridCol w:w="4736"/>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Klíčové kompetence</w:t>
            </w:r>
          </w:p>
        </w:tc>
        <w:tc>
          <w:tcPr>
            <w:tcW w:w="4452"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Dílčí cíle</w:t>
            </w:r>
          </w:p>
        </w:tc>
        <w:tc>
          <w:tcPr>
            <w:tcW w:w="4736"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Očekávané výstupy</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soustředěně pozoruje, zkoumá, objevuje, všímá si souvislostí, experimentuje a užívá při tom jednoduchých pojmů, znaků a symbolů</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a užívání všech smyslů</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vnímat a rozlišovat pomocí všech smyslů (sluchově rozlišovat zvuky a tóny, zrakově rozlišovat tvary předmětů a jiné specifické znaky, rozlišovat vůně, chutě, vnímat hmatem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vědomě využívat všech smyslů, záměrně pozorovat, postřehovat, všímat si (nového, změněného, chybějícího)</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vyjadřovat svou představivost a fantazii v tvořivých činnostech (konstruktivních, výtvarných, hudebních, pohybových či dramatických) i ve slovních výpovědích k nim</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poznat a pojmenovat většinu toho, čím je obklopeno</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si všímá dění i problémů v bezprostředním okolí; přirozenou motivací k řešení dalších problémů a situací je pro něj pozitivní odezva na aktivní zájem</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schopnosti přizpůsobovat se podmínkám vnějšího prostředí i jeho změnám</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porozumět, že změny jsou přirozené a samozřejmé (všechno kolem se mění, vyvíjí, pohybuje a proměňuje a že s těmito změnami je třeba v životě počítat), přizpůsobovat se běžně proměnlivým okolnostem doma i v mateřské škole</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všímat si změn a dění v nejbližším okolí</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uplatňuje získanou zkušenost v praktických situacích a v dalším učení</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zdravých životních návyků a postojů jako základů zdravého životního stylu</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mít povědomí o významu péče o čistotu a zdraví, o významu aktivního pohybu a zdravé výživy</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mít povědomí o některých způsobech ochrany osobního zdraví a bezpečí a o tom, kde v případě potřeby hledat pomoc (kam se obrátit, koho přivolat, jakým způsobem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osvojení si věku přiměřených praktických dovedností</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zvládat jednoduchou obsluhu a pracovní úkony (postarat se o hračky, pomůcky, uklidit po sobě, udržovat pořádek, zvládat jednoduché úklidové práce, práce na zahradě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zacházet šetrně s vlastními i cizími pomůckami, hračkami, věcmi denní potřeby, s knížkami, s penězi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zacházet s běžnými předměty denní potřeby, hračkami, pomůckami, drobnými nástroji, sportovním náčiním a nářadím, výtvarnými pomůckami a materiály, jednoduchými hudebními nástroji, běžnými pracovními pomůckami</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posilování přirozených poznávacích citů (zvídavosti, zájmu, radosti z objevování apod.)</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formulovat otázky, odpovídat, hodnotit slovní výkony, slovně reagovat</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prožívat radost ze zvládnutého a poznaného</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odhaduje rizika svých nápadů, jde za svým záměrem, ale také dokáže měnit cesty a přizpůsobovat se daným okolnostem</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zdravých životních návyků a postojů jako základů zdravého životního stylu</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mít povědomí o významu péče o čistotu a zdraví, o významu aktivního pohybu a zdravé výživy</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mít povědomí o některých způsobech ochrany osobního zdraví a bezpečí a o tom, kde v případě potřeby hledat pomoc (kam se obrátit, koho přivolat, jakým způsobem apod.)</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klade otázky a hledá na ně odpovědi, aktivně si všímá, co se kolem něho děje; chce porozumět věcem, jevům a dějům, které kolem sebe vidí; poznává, že se může mnohému naučit, raduje se z toho, co samo dokázalo a zvládlo</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elementárního povědomí o širším přírodním, kulturním i technickém prostředí, o jejich rozmanitosti, vývoji a neustálých proměnách</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mít povědomí o širším společenském, věcném, přírodním, kulturním i technickém prostředí i jeho dění v rozsahu praktických zkušeností a dostupných praktických ukázek v okolí dítěte</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zaměřovat se na to, co je z poznávacího hlediska důležité (odhalovat podstatné znaky, vlastnosti předmětů, nacházet společné znaky, podobu a rozdíl, charakteristické rysy předmětů či jevů a vzájemné souvislosti mezi nimi)</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užívá při řešení myšlenkových i praktických problémů logických, matematických i empirických postupů; pochopí jednoduché algoritmy řešení různých úloh a situací a využívá je v dalších situacích</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osvojení si poznatků a dovedností potřebných k vykonávání jednoduchých činností v péči o okolí při spoluvytváření zdravého a bezpečného prostředí a k ochraně dítěte před jeho nebezpečnými vlivy</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zvládat běžné činnosti a požadavky na dítě kladené i jednoduché praktické situace, které se doma a v mateřské škole opakují, chovat se přiměřeně a bezpečně doma i na veřejnosti (na ulici, na hřišti, v obchodě, u lékaře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nalézat nová řešení nebo alternativní k běžným</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chápe, že se může o tom, co udělá, rozhodovat svobodně, ale že za svá rozhodnutí také odpovídá</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osvojení si poznatků o těle a jeho zdraví, o pohybových činnostech a jejich kvalitě</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rozlišovat, co prospívá zdraví a co mu škodí; chovat se tak, aby v situacích pro dítě běžných a jemu známých neohrožovalo zdraví, bezpečí a pohodu svou ani druhých</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uvědomovat si nebezpečí, se kterým se může ve svém okolí setkat, a mít povědomí o tom, jak se prakticky chránit (vědět, jak se nebezpečí vyhnout, kam se v případě potřeby obrátit o pomoc)</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odhaduje své síly, učí se hodnotit svoje osobní pokroky i oceňovat výkony druhých</w:t>
            </w:r>
          </w:p>
        </w:tc>
        <w:tc>
          <w:tcPr>
            <w:tcW w:w="4452"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pohybových schopností a zdokonalování dovedností v oblasti hrubé i jemné motoriky (koordinace a rozsahu pohybu, dýchání, koordinace ruky a oka apod.), ovládání pohybového aparátu a tělesných funkcí</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trPr/>
        <w:tc>
          <w:tcPr>
            <w:tcW w:w="4525"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zajímá o druhé i o to, co se kolem děje; je otevřené aktuálnímu dění</w:t>
            </w:r>
          </w:p>
        </w:tc>
        <w:tc>
          <w:tcPr>
            <w:tcW w:w="4452"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vytvoření povědomí o vlastní sounáležitosti se světem, se živou a neživou přírodou, lidmi, společností, planetou Zemí</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mít povědomí o významu životního prostředí (přírody i společnosti) pro člověka, uvědomovat si, že způsobem, jakým se dítě i ostatní v jeho okolí chovají, ovlivňují vlastní zdraví i životní prostředí</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chápe, že zájem o to, co se kolem děje, činorodost, pracovitost a podnikavost jsou přínosem a že naopak lhostejnost, nevšímavost, pohodlnost a nízká aktivita mají svoje nepříznivé důsledky</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pochopení, že změny způsobené lidskou činností mohou prostředí chránit a zlepšovat, ale také poškozovat a ničit</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pomáhat pečovat o okolní životní prostředí (dbát o pořádek a čistotu, nakládat vhodnýmzpůsobem s odpady, starat se o rostliny, spoluvytvářet pohodu prostředí, chránit příroduv okolí, živé tvory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rozlišovat aktivity, které mohou zdraví okolního prostředí podporovat a které je mohoupoškozovat, všímat si nepořádků a škod, upozornit na ně</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je schopno chápat, že lidé se různí, a umí být tolerantní k jejich odlišnostem a jedinečnostem</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uvědomění si vlastního těla</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vědomě napodobit jednoduchý pohyb podle vzoru a přizpůsobit jej podle pokynu</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zachovávat správné držení těla</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pojmenovat části těla, některé orgány (včetně pohlavních), znát jejich funkce, mít povědomí o těle a jeho vývoji, (o narození, růstu těla a jeho proměnách), znát základní pojmy užívané ve spojení se zdravím, s pohybem a sportem</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si uvědomuje svá práva i práva druhých, učí se je hájit a respektovat; chápe, že všichni lidé mají stejnou hodnotu</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úcty k životu ve všech jeho formách</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být citlivé ve vztahu k živým bytostem, k přírodě i k věcem</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uvědomovat si svou samostatnost, zaujímat vlastní názory a postoje a vyjadřovat je</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dbá na osobní zdraví a bezpečí svoje i druhých, chová se odpovědně s ohledem na zdravé a bezpečné okolní prostředí (přírodní i společenské)</w:t>
            </w:r>
          </w:p>
        </w:tc>
        <w:tc>
          <w:tcPr>
            <w:tcW w:w="4452"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osvojení si poznatků a dovedností důležitých k podpoře zdraví, bezpečí, osobní pohody i pohody prostředí</w:t>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zvládnout sebeobsluhu, uplatňovat základní kulturně hygienické a zdravotně preventivní návyky (starat se o osobní hygienu, přijímat stravu a tekutinu, umět stolovat, postarat se o sebe a své osobní věci, oblékat se, svlékat, obouvat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4452"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4736"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rozhodovat o svých činnostech</w:t>
            </w:r>
          </w:p>
        </w:tc>
      </w:tr>
    </w:tbl>
    <w:p>
      <w:pPr>
        <w:pStyle w:val="Normal"/>
        <w:rPr/>
      </w:pPr>
      <w:r>
        <w:rPr/>
        <w:t>    </w:t>
      </w:r>
    </w:p>
    <w:p>
      <w:pPr>
        <w:pStyle w:val="Heading3"/>
        <w:spacing w:before="281" w:after="281"/>
        <w:rPr/>
      </w:pPr>
      <w:bookmarkStart w:id="33" w:name="_Toc256000036"/>
      <w:r>
        <w:rPr>
          <w:sz w:val="28"/>
          <w:szCs w:val="28"/>
        </w:rPr>
        <w:t>Říše pohádek</w:t>
      </w:r>
      <w:bookmarkEnd w:id="33"/>
      <w:r>
        <w:rPr>
          <w:sz w:val="28"/>
          <w:szCs w:val="28"/>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9187"/>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Název integrovaného bloku</w:t>
            </w:r>
          </w:p>
        </w:tc>
        <w:tc>
          <w:tcPr>
            <w:tcW w:w="9187"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kern w:val="0"/>
                <w:lang w:val="cs-CZ" w:eastAsia="cs-CZ" w:bidi="ar-SA"/>
              </w:rPr>
              <w:t>Říše pohádek</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Oblast</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Dítě a jeho tělo, Dítě a jeho psychika, Dítě a ten druhý, Dítě a společnost, Dítě a svět</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Charakteristika integrovaného bloku</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Hlavním cílem integrovaného bloku je rozvoj komunikativních dovedností, verbálních i neverbálních a kultivovaného projevu, rozvoj předčtenářských dovedností.</w:t>
            </w:r>
          </w:p>
        </w:tc>
      </w:tr>
      <w:tr>
        <w:trPr/>
        <w:tc>
          <w:tcPr>
            <w:tcW w:w="4525"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Návrhy dílčích témat pro realizaci</w:t>
            </w:r>
          </w:p>
        </w:tc>
        <w:tc>
          <w:tcPr>
            <w:tcW w:w="9187" w:type="dxa"/>
            <w:tcBorders>
              <w:top w:val="inset" w:sz="6" w:space="0" w:color="808080"/>
              <w:left w:val="inset" w:sz="6" w:space="0" w:color="808080"/>
              <w:bottom w:val="inset" w:sz="6" w:space="0" w:color="808080"/>
              <w:right w:val="inset" w:sz="6" w:space="0" w:color="808080"/>
            </w:tcBorders>
          </w:tcPr>
          <w:p>
            <w:pPr>
              <w:pStyle w:val="Normal"/>
              <w:widowControl/>
              <w:numPr>
                <w:ilvl w:val="0"/>
                <w:numId w:val="6"/>
              </w:numPr>
              <w:spacing w:lineRule="auto" w:line="240" w:before="0" w:after="0"/>
              <w:jc w:val="left"/>
              <w:rPr/>
            </w:pPr>
            <w:r>
              <w:rPr>
                <w:rFonts w:eastAsia="Calibri" w:cs="Calibri"/>
                <w:kern w:val="0"/>
                <w:lang w:val="cs-CZ" w:eastAsia="cs-CZ" w:bidi="ar-SA"/>
              </w:rPr>
              <w:t>Pohádky</w:t>
            </w:r>
          </w:p>
          <w:p>
            <w:pPr>
              <w:pStyle w:val="Normal"/>
              <w:widowControl/>
              <w:numPr>
                <w:ilvl w:val="0"/>
                <w:numId w:val="6"/>
              </w:numPr>
              <w:spacing w:lineRule="auto" w:line="240" w:before="0" w:after="0"/>
              <w:jc w:val="left"/>
              <w:rPr/>
            </w:pPr>
            <w:r>
              <w:rPr>
                <w:rFonts w:eastAsia="Calibri" w:cs="Calibri"/>
                <w:kern w:val="0"/>
                <w:szCs w:val="22"/>
                <w:lang w:val="cs-CZ" w:eastAsia="cs-CZ" w:bidi="ar-SA"/>
              </w:rPr>
              <w:t>Knihovna</w:t>
            </w:r>
          </w:p>
        </w:tc>
      </w:tr>
    </w:tbl>
    <w:p>
      <w:pPr>
        <w:pStyle w:val="Normal"/>
        <w:rPr/>
      </w:pPr>
      <w:r>
        <w:rPr/>
        <w:t>   </w:t>
      </w:r>
    </w:p>
    <w:tbl>
      <w:tblPr>
        <w:tblStyle w:val="TabulkaIB"/>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4525"/>
        <w:gridCol w:w="3695"/>
        <w:gridCol w:w="5493"/>
      </w:tblGrid>
      <w:tr>
        <w:trPr>
          <w:tblHeader w:val="true"/>
          <w:cnfStyle w:val="100000000000" w:firstRow="1" w:lastRow="0" w:firstColumn="0" w:lastColumn="0" w:oddVBand="0" w:evenVBand="0" w:oddHBand="0" w:evenHBand="0" w:firstRowFirstColumn="0" w:firstRowLastColumn="0" w:lastRowFirstColumn="0" w:lastRowLastColumn="0"/>
        </w:trPr>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Klíčové kompetence</w:t>
            </w:r>
          </w:p>
        </w:tc>
        <w:tc>
          <w:tcPr>
            <w:tcW w:w="369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Dílčí cíle</w:t>
            </w:r>
          </w:p>
        </w:tc>
        <w:tc>
          <w:tcPr>
            <w:tcW w:w="5493"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center"/>
              <w:rPr/>
            </w:pPr>
            <w:r>
              <w:rPr>
                <w:rFonts w:eastAsia="Calibri" w:cs="Calibri"/>
                <w:b/>
                <w:bCs/>
                <w:kern w:val="0"/>
                <w:lang w:val="cs-CZ" w:eastAsia="cs-CZ" w:bidi="ar-SA"/>
              </w:rPr>
              <w:t>Očekávané výstupy</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řeší problémy, na které stačí; známé a opakující se situace se snaží řešit samostatně (na základě nápodoby či opakování), náročnější s oporou a pomocí dospělého</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tvořivosti (tvořivého myšlení, řešení problémů, tvořivého sebevyjádření)</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řešit problémy, úkoly a situace, myslet kreativně, předkládat „nápady“</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zachytit a vyjádřit své prožitky (slovně, výtvarně, pomocí hudby, hudebně pohybovou či dramatickou improvizací apod.)</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dokáže rozpoznat a využívat vlastní silné stránky, poznávat svoje slabé stránky</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schopnosti sebeovládání</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vyjednávat s dětmi i dospělými ve svém okolí, domluvit se na společném řešení (v jednoduchých situacích samostatně, jinak s pomocí)</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vyvinout volní úsilí, soustředit se na činnost a její dokončení</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uvědomovat si své možnosti i limity (své silné i slabé stránky)</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komunikuje v běžných situacích bez zábran a ostychu s dětmi i s dospělými; chápe, že být komunikativní, vstřícné, iniciativní a aktivní je výhodou</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schopnosti citové vztahy vytvářet, rozvíjet je a city plně prožívat</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sledovat a vyprávět příběh, pohádku</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popsat situaci (skutečnou, podle obrázku)</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uvědomovat si příjemné a nepříjemné citové prožitky (lásku, soucítění, radost, spokojenost i strach, smutek, odmítání), rozlišovat citové projevy v důvěrném (rodinném) a cizím prostředí</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učí nejen spontánně, ale i vědomě, vyvine úsilí, soustředí se na činnost a záměrně si zapamatuje; při zadané práci dokončí, co započalo; dovede postupovat podle instrukcí a pokynů, je schopno dobrat se k výsledkům</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vytváření pozitivního vztahu k intelektuálním činnostem a k učení, podpora a rozvoj zájmu o učení</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postupovat a učit se podle pokynů a instrukcí</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vnímat, že je zajímavé dozvídat se nové věci, využívat zkušeností k učení</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projevovat zájem o knížky, soustředěně poslouchat četbu, hudbu, sledovat divadlo, film, užívat telefon</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poznat a vymyslet jednoduchá synonyma, homonyma a antonyma</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zpřesňuje si početní představy, užívá číselných a matematických pojmů, vnímá elementární matematické souvislosti</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osvojení si elementárních poznatků o znakových systémech a jejich funkci (abeceda, čísla)</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sledovat očima zleva doprava</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poznat některá písmena a číslice, popř. slova</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ovládá dovednosti předcházející čtení a psaní</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osvojení si některých poznatků a dovedností, které předcházejí čtení i psaní, rozvoj zájmu o psanou podobu jazyka i další formy sdělení verbální i neverbální (výtvarné, hudební, pohybové, dramatické)</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poznat napsané své jméno</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sluchově rozlišovat začáteční a koncové slabiky a hlásky ve slovech</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průběžně rozšiřuje svou slovní zásobu a aktivně ji používá k dokonalejší komunikaci s okolím</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rozvoj řečových schopností a jazykových dovedností receptivních (vnímání, naslouchání, porozumění) i produktivních (výslovnosti, vytváření pojmů, mluvního projevu, vyjadřování)</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učit se nová slova a aktivně je používat (ptát se na slova, kterým nerozumí)</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porozumět slyšenému (zachytit hlavní myšlenku příběhu, sledovat děj a zopakovat jej ve správných větách)</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vést rozhovor (naslouchat druhým, vyčkat, až druhý dokončí myšlenku, sledovat řečníka i obsah, ptát se)</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pojmenovat většinu toho, čím je obklopeno</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spolupodílí na společných rozhodnutích; přijímá vyjasněné a zdůvodněné povinnosti; dodržuje dohodnutá a pochopená pravidla a přizpůsobuje se jim</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vytvoření povědomí o mezilidských morálních hodnotách</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chovat se zdvořile, přistupovat k druhým lidem, k dospělým i k dětem, bez předsudků, s úctou k jejich osobě, vážit si jejich práce a úsilí</w:t>
            </w:r>
          </w:p>
        </w:tc>
      </w:tr>
      <w:tr>
        <w:trPr/>
        <w:tc>
          <w:tcPr>
            <w:tcW w:w="452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se chová při setkání s neznámými lidmi či v neznámých situacích obezřetně; nevhodné chování i komunikaci, která je mu nepříjemná, umí odmítnout</w:t>
            </w:r>
          </w:p>
        </w:tc>
        <w:tc>
          <w:tcPr>
            <w:tcW w:w="3695" w:type="dxa"/>
            <w:vMerge w:val="restart"/>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ochrana osobního soukromí a bezpečí ve vztazích s druhými dětmi i dospělými</w:t>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chovat se obezřetně při setkání s neznámými dětmi, staršími i dospělými jedinci, v případě potřeby požádat druhého o pomoc (pro sebe i pro jiné dítě)</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vyjádřit souhlas i nesouhlas, říci „ne“ v situacích, které to vyžadují (v ohrožujících, nebezpečných či neznámých situacích), odmítnout se podílet na nedovolených či zakázaných činnostech apod.</w:t>
            </w:r>
          </w:p>
        </w:tc>
      </w:tr>
      <w:tr>
        <w:trPr/>
        <w:tc>
          <w:tcPr>
            <w:tcW w:w="452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3695" w:type="dxa"/>
            <w:vMerge w:val="continue"/>
            <w:tcBorders>
              <w:top w:val="inset" w:sz="6" w:space="0" w:color="808080"/>
              <w:left w:val="inset" w:sz="6" w:space="0" w:color="808080"/>
              <w:bottom w:val="inset" w:sz="6" w:space="0" w:color="808080"/>
              <w:right w:val="inset" w:sz="6" w:space="0" w:color="808080"/>
            </w:tcBorders>
            <w:tcMar>
              <w:top w:w="0" w:type="dxa"/>
              <w:left w:w="22" w:type="dxa"/>
              <w:bottom w:w="0" w:type="dxa"/>
              <w:right w:w="22" w:type="dxa"/>
            </w:tcMar>
          </w:tcPr>
          <w:p>
            <w:pPr>
              <w:pStyle w:val="Normal"/>
              <w:widowControl/>
              <w:spacing w:lineRule="auto" w:line="240" w:before="0" w:after="0"/>
              <w:rPr/>
            </w:pPr>
            <w:r>
              <w:rPr>
                <w:rFonts w:cs="Times New Roman"/>
                <w:kern w:val="0"/>
                <w:lang w:val="cs-CZ" w:eastAsia="cs-CZ" w:bidi="ar-SA"/>
              </w:rPr>
            </w:r>
          </w:p>
        </w:tc>
        <w:tc>
          <w:tcPr>
            <w:tcW w:w="5493" w:type="dxa"/>
            <w:tcBorders>
              <w:top w:val="inset" w:sz="6" w:space="0" w:color="808080"/>
              <w:left w:val="inset" w:sz="6" w:space="0" w:color="808080"/>
              <w:bottom w:val="inset" w:sz="6" w:space="0" w:color="808080"/>
              <w:right w:val="inset" w:sz="6" w:space="0" w:color="808080"/>
            </w:tcBorders>
          </w:tcPr>
          <w:p>
            <w:pPr>
              <w:pStyle w:val="Normal"/>
              <w:widowControl/>
              <w:spacing w:lineRule="auto" w:line="240" w:before="0" w:after="0"/>
              <w:jc w:val="left"/>
              <w:rPr/>
            </w:pPr>
            <w:r>
              <w:rPr>
                <w:rFonts w:eastAsia="Calibri" w:cs="Calibri"/>
                <w:kern w:val="0"/>
                <w:lang w:val="cs-CZ" w:eastAsia="cs-CZ" w:bidi="ar-SA"/>
              </w:rPr>
              <w:t>odmítnout komunikaci, která je mu nepříjemná</w:t>
            </w:r>
          </w:p>
        </w:tc>
      </w:tr>
    </w:tbl>
    <w:p>
      <w:pPr>
        <w:pStyle w:val="Normal"/>
        <w:rPr/>
      </w:pPr>
      <w:r>
        <w:rPr/>
        <w:t>     </w:t>
      </w:r>
    </w:p>
    <w:p>
      <w:pPr>
        <w:pStyle w:val="Heading2"/>
        <w:spacing w:before="299" w:after="299"/>
        <w:ind w:hanging="578" w:left="578"/>
        <w:rPr/>
      </w:pPr>
      <w:bookmarkStart w:id="34" w:name="_Toc256000037"/>
      <w:r>
        <w:rPr/>
        <w:t>Popis zpracování třídního vzdělávacího programu</w:t>
      </w:r>
      <w:bookmarkEnd w:id="34"/>
      <w:r>
        <w:rPr/>
        <w:t> </w:t>
      </w:r>
    </w:p>
    <w:p>
      <w:pPr>
        <w:pStyle w:val="Normal"/>
        <w:spacing w:before="240" w:after="240"/>
        <w:rPr/>
      </w:pPr>
      <w:r>
        <w:rPr/>
        <w:t>Třídní vzdělávací program vytváří učitelky průběžně. Integrované bloky a témata vybírají ve spolupráci s dětmi, podle aktuální situace ve třídě, ročního období, případně akcí MŠ nebo obce. Třídní program je otevřený dokument, který se může v průběhu roku doplnit nebo části vyjmout, upravit. Činnosti do center aktivit jsou plánovány společně s dětmi.   </w:t>
      </w:r>
    </w:p>
    <w:p>
      <w:pPr>
        <w:pStyle w:val="Normal"/>
        <w:spacing w:before="240" w:after="240"/>
        <w:rPr/>
      </w:pPr>
      <w:r>
        <w:rPr/>
        <w:t>Každodenní nabídka činností vychází z principu mnohočetné inteligence podle Howarda Gardnera (verbální, logicko-matematická, prostorová, tělesně kinestetická, hudební, intrapersonální, interpersonální, přírodní).  </w:t>
      </w:r>
    </w:p>
    <w:p>
      <w:pPr>
        <w:pStyle w:val="Heading2"/>
        <w:spacing w:before="299" w:after="299"/>
        <w:ind w:hanging="578" w:left="578"/>
        <w:rPr/>
      </w:pPr>
      <w:bookmarkStart w:id="35" w:name="_Toc256000038"/>
      <w:r>
        <w:rPr/>
        <w:t>Dílčí projekty a programy</w:t>
      </w:r>
      <w:bookmarkEnd w:id="35"/>
      <w:r>
        <w:rPr/>
        <w:t> </w:t>
      </w:r>
    </w:p>
    <w:p>
      <w:pPr>
        <w:pStyle w:val="Normal"/>
        <w:spacing w:before="240" w:after="240"/>
        <w:rPr/>
      </w:pPr>
      <w:r>
        <w:rPr>
          <w:b/>
          <w:bCs/>
        </w:rPr>
        <w:t>Předplavecká výuka </w:t>
      </w:r>
      <w:r>
        <w:rPr/>
        <w:t xml:space="preserve"> je zajišťována ve spolupráci s Plaveckou školou Vyškov, která je řádným členem Asociace plaveckých škol ČR a České unie školního plavání. Zpravidla děti absolvují 8 - 10 lekcí během dvou měsíců školního roku. Výuky se účastní děti, které jsou již schopné splnit nároky spojené s rychlejší sebeobsluhou a schopností podřídit se autoritě dalšího učitele. V průběhu své docházky do MŠ se mohou vystřídat všechny děti.  </w:t>
      </w:r>
    </w:p>
    <w:p>
      <w:pPr>
        <w:pStyle w:val="Normal"/>
        <w:spacing w:before="240" w:after="240"/>
        <w:rPr/>
      </w:pPr>
      <w:r>
        <w:rPr>
          <w:b/>
          <w:bCs/>
        </w:rPr>
        <w:t>Technické školky  </w:t>
      </w:r>
      <w:r>
        <w:rPr/>
        <w:t>je projekt, který přispívá k rozvoji polytechnického vzdělávání v mateřských školách. V rámci aktivity jsou pedagogové proškolení na úvodním workshopu (práce s nářadím, metodika, tvorba vlastního výrobku apod.). Do ukázkových hodin v MŠ jsou zapojeni i rodiče.  </w:t>
      </w:r>
    </w:p>
    <w:p>
      <w:pPr>
        <w:sectPr>
          <w:headerReference w:type="default" r:id="rId26"/>
          <w:headerReference w:type="first" r:id="rId27"/>
          <w:footerReference w:type="default" r:id="rId28"/>
          <w:footerReference w:type="first" r:id="rId29"/>
          <w:type w:val="nextPage"/>
          <w:pgSz w:orient="landscape" w:w="16838" w:h="11906"/>
          <w:pgMar w:left="1800" w:right="1325" w:gutter="0" w:header="720" w:top="1440" w:footer="720" w:bottom="1440"/>
          <w:pgNumType w:fmt="decimal"/>
          <w:formProt w:val="false"/>
          <w:textDirection w:val="lrTb"/>
          <w:docGrid w:type="default" w:linePitch="100" w:charSpace="0"/>
        </w:sectPr>
        <w:pStyle w:val="Normal"/>
        <w:spacing w:before="240" w:after="240"/>
        <w:rPr/>
      </w:pPr>
      <w:r>
        <w:rPr>
          <w:b/>
          <w:bCs/>
        </w:rPr>
        <w:t>Lokomoce -  </w:t>
      </w:r>
      <w:r>
        <w:rPr/>
        <w:t>vzdělávání pedagogů k budování návyků zdravého životního stylu u dětí, prevence vadného držení těla, podpora motoriky a správných pohybových návyků u dětí.  </w:t>
        <w:br/>
      </w:r>
    </w:p>
    <w:p>
      <w:pPr>
        <w:pStyle w:val="Heading1"/>
        <w:spacing w:before="322" w:after="322"/>
        <w:ind w:hanging="431" w:left="431"/>
        <w:rPr/>
      </w:pPr>
      <w:bookmarkStart w:id="36" w:name="_Toc256000039"/>
      <w:r>
        <w:rPr/>
        <w:t>Systém evaluace</w:t>
      </w:r>
      <w:bookmarkEnd w:id="36"/>
      <w:r>
        <w:rPr/>
        <w:t> </w:t>
      </w:r>
    </w:p>
    <w:tbl>
      <w:tblPr>
        <w:tblStyle w:val="TabulkaK"/>
        <w:tblW w:w="5000" w:type="pct"/>
        <w:jc w:val="left"/>
        <w:tblInd w:w="7" w:type="dxa"/>
        <w:tblLayout w:type="fixed"/>
        <w:tblCellMar>
          <w:top w:w="15" w:type="dxa"/>
          <w:left w:w="15" w:type="dxa"/>
          <w:bottom w:w="15" w:type="dxa"/>
          <w:right w:w="15" w:type="dxa"/>
        </w:tblCellMar>
        <w:tblLook w:firstRow="1" w:noVBand="1" w:lastRow="0" w:firstColumn="1" w:lastColumn="0" w:noHBand="0" w:val="04a0"/>
      </w:tblPr>
      <w:tblGrid>
        <w:gridCol w:w="2742"/>
        <w:gridCol w:w="4525"/>
        <w:gridCol w:w="3429"/>
        <w:gridCol w:w="959"/>
        <w:gridCol w:w="2058"/>
      </w:tblGrid>
      <w:tr>
        <w:trPr>
          <w:tblHeader w:val="true"/>
          <w:cnfStyle w:val="100000000000" w:firstRow="1" w:lastRow="0" w:firstColumn="0" w:lastColumn="0" w:oddVBand="0" w:evenVBand="0" w:oddHBand="0" w:evenHBand="0" w:firstRowFirstColumn="0" w:firstRowLastColumn="0" w:lastRowFirstColumn="0" w:lastRowLastColumn="0"/>
        </w:trPr>
        <w:tc>
          <w:tcPr>
            <w:tcW w:w="2742"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Oblast</w:t>
            </w:r>
          </w:p>
        </w:tc>
        <w:tc>
          <w:tcPr>
            <w:tcW w:w="4525"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Cíle a kritéria</w:t>
            </w:r>
          </w:p>
        </w:tc>
        <w:tc>
          <w:tcPr>
            <w:tcW w:w="3429"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Nástroje</w:t>
            </w:r>
          </w:p>
        </w:tc>
        <w:tc>
          <w:tcPr>
            <w:tcW w:w="959"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Časové rozvržení</w:t>
            </w:r>
          </w:p>
        </w:tc>
        <w:tc>
          <w:tcPr>
            <w:tcW w:w="2058" w:type="dxa"/>
            <w:tcBorders>
              <w:top w:val="inset" w:sz="6" w:space="0" w:color="808080"/>
              <w:left w:val="inset" w:sz="6" w:space="0" w:color="808080"/>
              <w:bottom w:val="inset" w:sz="6" w:space="0" w:color="808080"/>
              <w:right w:val="inset" w:sz="6" w:space="0" w:color="808080"/>
            </w:tcBorders>
            <w:shd w:color="auto" w:fill="9CC2E5" w:val="clear"/>
          </w:tcPr>
          <w:p>
            <w:pPr>
              <w:pStyle w:val="Normal"/>
              <w:keepNext w:val="true"/>
              <w:widowControl/>
              <w:shd w:val="clear" w:color="auto" w:fill="9CC2E5"/>
              <w:spacing w:lineRule="auto" w:line="240" w:before="0" w:after="0"/>
              <w:jc w:val="left"/>
              <w:rPr/>
            </w:pPr>
            <w:r>
              <w:rPr>
                <w:rFonts w:eastAsia="Calibri" w:cs="Calibri"/>
                <w:kern w:val="0"/>
                <w:lang w:val="cs-CZ" w:eastAsia="cs-CZ" w:bidi="ar-SA"/>
              </w:rPr>
              <w:t>Zodpovědnost</w:t>
            </w:r>
          </w:p>
        </w:tc>
      </w:tr>
      <w:tr>
        <w:trPr/>
        <w:tc>
          <w:tcPr>
            <w:tcW w:w="2742"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Koncepce a rámec školy</w:t>
            </w:r>
          </w:p>
        </w:tc>
        <w:tc>
          <w:tcPr>
            <w:tcW w:w="4525"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eastAsia="Calibri" w:cs="Calibri"/>
                <w:kern w:val="0"/>
                <w:lang w:val="cs-CZ" w:eastAsia="cs-CZ" w:bidi="ar-SA"/>
              </w:rPr>
              <w:t>Naplnění vize školy v souladu se záměry zřizovatele. Soulad ŠVP s RVP PV. Pravidelná komunikace s rodiči a zřizovatelem.</w:t>
            </w:r>
          </w:p>
        </w:tc>
        <w:tc>
          <w:tcPr>
            <w:tcW w:w="342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95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cs="Times New Roman"/>
                <w:kern w:val="0"/>
                <w:lang w:val="cs-CZ" w:eastAsia="cs-CZ" w:bidi="ar-SA"/>
              </w:rPr>
            </w:r>
          </w:p>
        </w:tc>
        <w:tc>
          <w:tcPr>
            <w:tcW w:w="2058"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r>
      <w:tr>
        <w:trPr/>
        <w:tc>
          <w:tcPr>
            <w:tcW w:w="2742"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Pedagogické vedení školy</w:t>
            </w:r>
          </w:p>
        </w:tc>
        <w:tc>
          <w:tcPr>
            <w:tcW w:w="4525"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eastAsia="Calibri" w:cs="Calibri"/>
                <w:kern w:val="0"/>
                <w:lang w:val="cs-CZ" w:eastAsia="cs-CZ" w:bidi="ar-SA"/>
              </w:rPr>
              <w:t>Klima školy, spolupráce s rodiči. Rozvoj pedagogického sboru. Zhodnocení podmínek vzdělávání.</w:t>
            </w:r>
          </w:p>
        </w:tc>
        <w:tc>
          <w:tcPr>
            <w:tcW w:w="342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95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cs="Times New Roman"/>
                <w:kern w:val="0"/>
                <w:lang w:val="cs-CZ" w:eastAsia="cs-CZ" w:bidi="ar-SA"/>
              </w:rPr>
            </w:r>
          </w:p>
        </w:tc>
        <w:tc>
          <w:tcPr>
            <w:tcW w:w="2058"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r>
      <w:tr>
        <w:trPr/>
        <w:tc>
          <w:tcPr>
            <w:tcW w:w="2742"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Kvalita pedagogického sboru</w:t>
            </w:r>
          </w:p>
        </w:tc>
        <w:tc>
          <w:tcPr>
            <w:tcW w:w="4525"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eastAsia="Calibri" w:cs="Calibri"/>
                <w:kern w:val="0"/>
                <w:lang w:val="cs-CZ" w:eastAsia="cs-CZ" w:bidi="ar-SA"/>
              </w:rPr>
              <w:t>Kvalifikace a profesní rozvoj. Profesionální a respektující přístup.</w:t>
            </w:r>
          </w:p>
        </w:tc>
        <w:tc>
          <w:tcPr>
            <w:tcW w:w="342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95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cs="Times New Roman"/>
                <w:kern w:val="0"/>
                <w:lang w:val="cs-CZ" w:eastAsia="cs-CZ" w:bidi="ar-SA"/>
              </w:rPr>
            </w:r>
          </w:p>
        </w:tc>
        <w:tc>
          <w:tcPr>
            <w:tcW w:w="2058"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r>
      <w:tr>
        <w:trPr/>
        <w:tc>
          <w:tcPr>
            <w:tcW w:w="2742"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Vzdělávání</w:t>
            </w:r>
          </w:p>
        </w:tc>
        <w:tc>
          <w:tcPr>
            <w:tcW w:w="4525"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eastAsia="Calibri" w:cs="Calibri"/>
                <w:kern w:val="0"/>
                <w:lang w:val="cs-CZ" w:eastAsia="cs-CZ" w:bidi="ar-SA"/>
              </w:rPr>
              <w:t xml:space="preserve">Ohodnocení naplňování stanovených cílů ŠVP. </w:t>
            </w:r>
          </w:p>
        </w:tc>
        <w:tc>
          <w:tcPr>
            <w:tcW w:w="342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95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cs="Times New Roman"/>
                <w:kern w:val="0"/>
                <w:lang w:val="cs-CZ" w:eastAsia="cs-CZ" w:bidi="ar-SA"/>
              </w:rPr>
            </w:r>
          </w:p>
        </w:tc>
        <w:tc>
          <w:tcPr>
            <w:tcW w:w="2058"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r>
      <w:tr>
        <w:trPr/>
        <w:tc>
          <w:tcPr>
            <w:tcW w:w="2742"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Vzdělávací výsledky</w:t>
            </w:r>
          </w:p>
        </w:tc>
        <w:tc>
          <w:tcPr>
            <w:tcW w:w="4525"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eastAsia="Calibri" w:cs="Calibri"/>
                <w:kern w:val="0"/>
                <w:lang w:val="cs-CZ" w:eastAsia="cs-CZ" w:bidi="ar-SA"/>
              </w:rPr>
              <w:t>Zpracování pedagogické diagnostiky. Aktivní práce s výsledky diagnostiky (individualizace). Dosažení souladu výsledků vzdělávání s cíli TVP, naplnění cílů ŠVP.</w:t>
            </w:r>
          </w:p>
        </w:tc>
        <w:tc>
          <w:tcPr>
            <w:tcW w:w="342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95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cs="Times New Roman"/>
                <w:kern w:val="0"/>
                <w:lang w:val="cs-CZ" w:eastAsia="cs-CZ" w:bidi="ar-SA"/>
              </w:rPr>
            </w:r>
          </w:p>
        </w:tc>
        <w:tc>
          <w:tcPr>
            <w:tcW w:w="2058"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r>
      <w:tr>
        <w:trPr/>
        <w:tc>
          <w:tcPr>
            <w:tcW w:w="2742" w:type="dxa"/>
            <w:tcBorders>
              <w:top w:val="inset" w:sz="6" w:space="0" w:color="808080"/>
              <w:left w:val="inset" w:sz="6" w:space="0" w:color="808080"/>
              <w:bottom w:val="inset" w:sz="6" w:space="0" w:color="808080"/>
              <w:right w:val="inset" w:sz="6" w:space="0" w:color="808080"/>
            </w:tcBorders>
            <w:shd w:color="auto" w:fill="DEEAF6" w:val="clear"/>
          </w:tcPr>
          <w:p>
            <w:pPr>
              <w:pStyle w:val="Normal"/>
              <w:widowControl/>
              <w:shd w:val="clear" w:color="auto" w:fill="DEEAF6"/>
              <w:spacing w:lineRule="auto" w:line="240" w:before="0" w:after="0"/>
              <w:jc w:val="left"/>
              <w:rPr/>
            </w:pPr>
            <w:r>
              <w:rPr>
                <w:rFonts w:eastAsia="Calibri" w:cs="Calibri"/>
                <w:kern w:val="0"/>
                <w:lang w:val="cs-CZ" w:eastAsia="cs-CZ" w:bidi="ar-SA"/>
              </w:rPr>
              <w:t>Podpora dětí při vzdělávání (rovné příležitosti)</w:t>
            </w:r>
          </w:p>
        </w:tc>
        <w:tc>
          <w:tcPr>
            <w:tcW w:w="4525"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eastAsia="Calibri" w:cs="Calibri"/>
                <w:kern w:val="0"/>
                <w:lang w:val="cs-CZ" w:eastAsia="cs-CZ" w:bidi="ar-SA"/>
              </w:rPr>
              <w:t>Přijímání dětí ke vzdělávání a jejich vzdělávání bez rozdílu. Podpora dětí se SVP.</w:t>
            </w:r>
          </w:p>
        </w:tc>
        <w:tc>
          <w:tcPr>
            <w:tcW w:w="342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c>
          <w:tcPr>
            <w:tcW w:w="959"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lineRule="auto" w:line="240" w:before="0" w:after="0"/>
              <w:jc w:val="left"/>
              <w:rPr/>
            </w:pPr>
            <w:r>
              <w:rPr>
                <w:rFonts w:cs="Times New Roman"/>
                <w:kern w:val="0"/>
                <w:lang w:val="cs-CZ" w:eastAsia="cs-CZ" w:bidi="ar-SA"/>
              </w:rPr>
            </w:r>
          </w:p>
        </w:tc>
        <w:tc>
          <w:tcPr>
            <w:tcW w:w="2058" w:type="dxa"/>
            <w:tcBorders>
              <w:top w:val="inset" w:sz="6" w:space="0" w:color="808080"/>
              <w:left w:val="inset" w:sz="6" w:space="0" w:color="808080"/>
              <w:bottom w:val="inset" w:sz="6" w:space="0" w:color="808080"/>
              <w:right w:val="inset" w:sz="6" w:space="0" w:color="808080"/>
            </w:tcBorders>
            <w:shd w:color="auto" w:fill="auto" w:val="clear"/>
          </w:tcPr>
          <w:p>
            <w:pPr>
              <w:pStyle w:val="Normal"/>
              <w:widowControl/>
              <w:spacing w:before="0" w:after="0"/>
              <w:rPr>
                <w:rFonts w:cs="Times New Roman"/>
                <w:kern w:val="0"/>
                <w:lang w:val="cs-CZ" w:eastAsia="cs-CZ" w:bidi="ar-SA"/>
              </w:rPr>
            </w:pPr>
            <w:r>
              <w:rPr>
                <w:rFonts w:cs="Times New Roman"/>
                <w:kern w:val="0"/>
                <w:lang w:val="cs-CZ" w:eastAsia="cs-CZ" w:bidi="ar-SA"/>
              </w:rPr>
            </w:r>
          </w:p>
        </w:tc>
      </w:tr>
    </w:tbl>
    <w:p>
      <w:pPr>
        <w:pStyle w:val="Normal"/>
        <w:rPr/>
      </w:pPr>
      <w:r>
        <w:rPr/>
        <w:t xml:space="preserve">  </w:t>
      </w:r>
    </w:p>
    <w:sectPr>
      <w:headerReference w:type="default" r:id="rId30"/>
      <w:headerReference w:type="first" r:id="rId31"/>
      <w:footerReference w:type="default" r:id="rId32"/>
      <w:footerReference w:type="first" r:id="rId33"/>
      <w:type w:val="nextPage"/>
      <w:pgSz w:orient="landscape" w:w="16838" w:h="11906"/>
      <w:pgMar w:left="1800" w:right="1325" w:gutter="0" w:header="72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Calibri">
    <w:charset w:val="ee"/>
    <w:family w:val="roman"/>
    <w:pitch w:val="variable"/>
  </w:font>
  <w:font w:name="Calibri Light">
    <w:charset w:val="ee"/>
    <w:family w:val="roman"/>
    <w:pitch w:val="variable"/>
  </w:font>
  <w:font w:name="Segoe UI">
    <w:charset w:val="ee"/>
    <w:family w:val="roman"/>
    <w:pitch w:val="variable"/>
  </w:font>
  <w:font w:name="Liberation Sans">
    <w:altName w:val="Arial"/>
    <w:charset w:val="ee"/>
    <w:family w:val="swiss"/>
    <w:pitch w:val="variable"/>
  </w:font>
  <w:font w:name="Helvetica">
    <w:altName w:val="Arial"/>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b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2</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4</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5</w:t>
        </w:r>
        <w:r>
          <w:rPr/>
          <w:fldChar w:fldCharType="end"/>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7</w:t>
        </w:r>
        <w:r>
          <w:rPr/>
          <w:fldChar w:fldCharType="end"/>
        </w:r>
      </w:p>
    </w:sdtContent>
  </w:sdt>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15</w:t>
        </w:r>
        <w:r>
          <w:rPr/>
          <w:fldChar w:fldCharType="end"/>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18</w:t>
        </w:r>
        <w:r>
          <w:rPr/>
          <w:fldChar w:fldCharType="end"/>
        </w:r>
      </w:p>
    </w:sdtContent>
  </w:sdt>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33</w:t>
        </w:r>
        <w:r>
          <w:rPr/>
          <w:fldChar w:fldCharType="end"/>
        </w:r>
      </w:p>
    </w:sdtContent>
  </w:sdt>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0650538"/>
    </w:sdtPr>
    <w:sdtContent>
      <w:p>
        <w:pPr>
          <w:pStyle w:val="Footer"/>
          <w:pBdr>
            <w:top w:val="single" w:sz="4" w:space="1" w:color="000000"/>
          </w:pBdr>
          <w:jc w:val="right"/>
          <w:rPr/>
        </w:pPr>
        <w:r>
          <w:rPr/>
          <w:fldChar w:fldCharType="begin"/>
        </w:r>
        <w:r>
          <w:rPr/>
          <w:instrText xml:space="preserve"> PAGE </w:instrText>
        </w:r>
        <w:r>
          <w:rPr/>
          <w:fldChar w:fldCharType="separate"/>
        </w:r>
        <w:r>
          <w:rPr/>
          <w:t>34</w:t>
        </w:r>
        <w:r>
          <w:rPr/>
          <w:fldChar w:fldCharType="end"/>
        </w:r>
      </w:p>
    </w:sdtContent>
  </w:sdt>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t>ŠKOLNÍ VZDĚLÁVACÍ PROGRAM  –  Školní vzdělávací program pro předškolní vzdělávání </w: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432" w:hanging="432"/>
      </w:pPr>
      <w:rPr/>
    </w:lvl>
    <w:lvl w:ilvl="1">
      <w:start w:val="1"/>
      <w:pStyle w:val="Heading2"/>
      <w:numFmt w:val="decimal"/>
      <w:lvlText w:val="%1.%2"/>
      <w:lvlJc w:val="left"/>
      <w:pPr>
        <w:tabs>
          <w:tab w:val="num" w:pos="0"/>
        </w:tabs>
        <w:ind w:left="576" w:hanging="576"/>
      </w:pPr>
      <w:rPr/>
    </w:lvl>
    <w:lvl w:ilvl="2">
      <w:start w:val="1"/>
      <w:pStyle w:val="Heading3"/>
      <w:numFmt w:val="decimal"/>
      <w:lvlText w:val="%1.%2.%3"/>
      <w:lvlJc w:val="left"/>
      <w:pPr>
        <w:tabs>
          <w:tab w:val="num" w:pos="0"/>
        </w:tabs>
        <w:ind w:left="720" w:hanging="720"/>
      </w:pPr>
      <w:rPr/>
    </w:lvl>
    <w:lvl w:ilvl="3">
      <w:start w:val="1"/>
      <w:pStyle w:val="Heading4"/>
      <w:numFmt w:val="decimal"/>
      <w:lvlText w:val="%1.%2.%3.%4"/>
      <w:lvlJc w:val="left"/>
      <w:pPr>
        <w:tabs>
          <w:tab w:val="num" w:pos="0"/>
        </w:tabs>
        <w:ind w:left="864" w:hanging="864"/>
      </w:pPr>
      <w:rPr/>
    </w:lvl>
    <w:lvl w:ilvl="4">
      <w:start w:val="1"/>
      <w:pStyle w:val="Heading5"/>
      <w:numFmt w:val="decimal"/>
      <w:lvlText w:val="%1.%2.%3.%4.%5"/>
      <w:lvlJc w:val="left"/>
      <w:pPr>
        <w:tabs>
          <w:tab w:val="num" w:pos="0"/>
        </w:tabs>
        <w:ind w:left="1008" w:hanging="1008"/>
      </w:pPr>
      <w:rPr/>
    </w:lvl>
    <w:lvl w:ilvl="5">
      <w:start w:val="1"/>
      <w:pStyle w:val="Heading6"/>
      <w:numFmt w:val="decimal"/>
      <w:lvlText w:val="%1.%2.%3.%4.%5.%6"/>
      <w:lvlJc w:val="left"/>
      <w:pPr>
        <w:tabs>
          <w:tab w:val="num" w:pos="0"/>
        </w:tabs>
        <w:ind w:left="1152" w:hanging="1152"/>
      </w:pPr>
      <w:rPr/>
    </w:lvl>
    <w:lvl w:ilvl="6">
      <w:start w:val="1"/>
      <w:pStyle w:val="Heading7"/>
      <w:numFmt w:val="decimal"/>
      <w:lvlText w:val="%1.%2.%3.%4.%5.%6.%7"/>
      <w:lvlJc w:val="left"/>
      <w:pPr>
        <w:tabs>
          <w:tab w:val="num" w:pos="0"/>
        </w:tabs>
        <w:ind w:left="1296" w:hanging="1296"/>
      </w:pPr>
      <w:rPr/>
    </w:lvl>
    <w:lvl w:ilvl="7">
      <w:start w:val="1"/>
      <w:pStyle w:val="Heading8"/>
      <w:numFmt w:val="decimal"/>
      <w:lvlText w:val="%1.%2.%3.%4.%5.%6.%7.%8"/>
      <w:lvlJc w:val="left"/>
      <w:pPr>
        <w:tabs>
          <w:tab w:val="num" w:pos="0"/>
        </w:tabs>
        <w:ind w:left="1440" w:hanging="1440"/>
      </w:pPr>
      <w:rPr/>
    </w:lvl>
    <w:lvl w:ilvl="8">
      <w:start w:val="1"/>
      <w:pStyle w:val="Heading9"/>
      <w:numFmt w:val="decimal"/>
      <w:lvlText w:val="%1.%2.%3.%4.%5.%6.%7.%8.%9"/>
      <w:lvlJc w:val="left"/>
      <w:pPr>
        <w:tabs>
          <w:tab w:val="num" w:pos="0"/>
        </w:tabs>
        <w:ind w:left="1584" w:hanging="1584"/>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mallCaps w:val="false"/>
        <w:caps w:val="false"/>
        <w:sz w:val="24"/>
        <w:i w:val="false"/>
        <w:b w:val="false"/>
        <w:szCs w:val="24"/>
        <w:iCs w:val="false"/>
        <w:bCs w:val="fals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Symbol" w:hAnsi="Symbol" w:cs="Symbol" w:hint="default"/>
        <w:smallCaps w:val="false"/>
        <w:caps w:val="false"/>
        <w:sz w:val="24"/>
        <w:i w:val="false"/>
        <w:b w:val="false"/>
        <w:szCs w:val="24"/>
        <w:iCs w:val="false"/>
        <w:bCs w:val="fals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Symbol" w:hAnsi="Symbol" w:cs="Symbol" w:hint="default"/>
        <w:smallCaps w:val="false"/>
        <w:caps w:val="false"/>
        <w:sz w:val="24"/>
        <w:i w:val="false"/>
        <w:b w:val="false"/>
        <w:szCs w:val="24"/>
        <w:iCs w:val="false"/>
        <w:bCs w:val="fals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720"/>
        </w:tabs>
        <w:ind w:left="720" w:hanging="360"/>
      </w:pPr>
      <w:rPr>
        <w:rFonts w:ascii="Symbol" w:hAnsi="Symbol" w:cs="Symbol" w:hint="default"/>
        <w:smallCaps w:val="false"/>
        <w:caps w:val="false"/>
        <w:sz w:val="24"/>
        <w:i w:val="false"/>
        <w:b w:val="false"/>
        <w:szCs w:val="24"/>
        <w:iCs w:val="false"/>
        <w:bCs w:val="fals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cs-CZ" w:eastAsia="cs-CZ"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63c93"/>
    <w:pPr>
      <w:widowControl/>
      <w:bidi w:val="0"/>
      <w:spacing w:lineRule="auto" w:line="312" w:before="0" w:after="0"/>
      <w:jc w:val="both"/>
    </w:pPr>
    <w:rPr>
      <w:rFonts w:ascii="Calibri" w:hAnsi="Calibri" w:eastAsia="" w:asciiTheme="minorHAnsi" w:eastAsiaTheme="minorEastAsia" w:hAnsiTheme="minorHAnsi" w:cs="Times New Roman"/>
      <w:color w:val="auto"/>
      <w:kern w:val="0"/>
      <w:sz w:val="22"/>
      <w:szCs w:val="24"/>
      <w:lang w:val="cs-CZ" w:eastAsia="cs-CZ" w:bidi="ar-SA"/>
    </w:rPr>
  </w:style>
  <w:style w:type="paragraph" w:styleId="Heading1">
    <w:name w:val="Heading 1"/>
    <w:basedOn w:val="Normal"/>
    <w:link w:val="Nadpis1Char"/>
    <w:uiPriority w:val="9"/>
    <w:qFormat/>
    <w:rsid w:val="000465f1"/>
    <w:pPr>
      <w:keepNext w:val="true"/>
      <w:numPr>
        <w:ilvl w:val="0"/>
        <w:numId w:val="1"/>
      </w:numPr>
      <w:spacing w:beforeAutospacing="1" w:afterAutospacing="1"/>
      <w:ind w:hanging="431" w:left="431"/>
      <w:outlineLvl w:val="0"/>
    </w:pPr>
    <w:rPr>
      <w:b/>
      <w:bCs/>
      <w:color w:themeColor="accent1" w:val="5B9BD5"/>
      <w:kern w:val="2"/>
      <w:sz w:val="48"/>
      <w:szCs w:val="48"/>
    </w:rPr>
  </w:style>
  <w:style w:type="paragraph" w:styleId="Heading2">
    <w:name w:val="Heading 2"/>
    <w:basedOn w:val="Normal"/>
    <w:link w:val="Nadpis2Char"/>
    <w:uiPriority w:val="9"/>
    <w:qFormat/>
    <w:rsid w:val="000465f1"/>
    <w:pPr>
      <w:keepNext w:val="true"/>
      <w:numPr>
        <w:ilvl w:val="1"/>
        <w:numId w:val="1"/>
      </w:numPr>
      <w:spacing w:beforeAutospacing="1" w:afterAutospacing="1"/>
      <w:ind w:hanging="578" w:left="578"/>
      <w:outlineLvl w:val="1"/>
    </w:pPr>
    <w:rPr>
      <w:b/>
      <w:bCs/>
      <w:sz w:val="36"/>
      <w:szCs w:val="36"/>
    </w:rPr>
  </w:style>
  <w:style w:type="paragraph" w:styleId="Heading3">
    <w:name w:val="Heading 3"/>
    <w:basedOn w:val="Normal"/>
    <w:link w:val="Nadpis3Char"/>
    <w:uiPriority w:val="9"/>
    <w:qFormat/>
    <w:rsid w:val="000465f1"/>
    <w:pPr>
      <w:keepNext w:val="true"/>
      <w:numPr>
        <w:ilvl w:val="2"/>
        <w:numId w:val="1"/>
      </w:numPr>
      <w:spacing w:beforeAutospacing="1" w:afterAutospacing="1"/>
      <w:outlineLvl w:val="2"/>
    </w:pPr>
    <w:rPr>
      <w:b/>
      <w:bCs/>
      <w:sz w:val="27"/>
      <w:szCs w:val="27"/>
    </w:rPr>
  </w:style>
  <w:style w:type="paragraph" w:styleId="Heading4">
    <w:name w:val="Heading 4"/>
    <w:basedOn w:val="Normal"/>
    <w:link w:val="Nadpis4Char"/>
    <w:uiPriority w:val="9"/>
    <w:qFormat/>
    <w:rsid w:val="005e2b7c"/>
    <w:pPr>
      <w:numPr>
        <w:ilvl w:val="3"/>
        <w:numId w:val="1"/>
      </w:numPr>
      <w:spacing w:beforeAutospacing="1" w:afterAutospacing="1"/>
      <w:outlineLvl w:val="3"/>
    </w:pPr>
    <w:rPr>
      <w:b/>
      <w:bCs/>
    </w:rPr>
  </w:style>
  <w:style w:type="paragraph" w:styleId="Heading5">
    <w:name w:val="Heading 5"/>
    <w:basedOn w:val="Normal"/>
    <w:next w:val="Normal"/>
    <w:link w:val="Nadpis5Char"/>
    <w:uiPriority w:val="9"/>
    <w:semiHidden/>
    <w:unhideWhenUsed/>
    <w:qFormat/>
    <w:rsid w:val="005e2b7c"/>
    <w:pPr>
      <w:keepNext w:val="true"/>
      <w:keepLines/>
      <w:numPr>
        <w:ilvl w:val="4"/>
        <w:numId w:val="1"/>
      </w:numPr>
      <w:spacing w:before="40" w:after="0"/>
      <w:outlineLvl w:val="4"/>
    </w:pPr>
    <w:rPr>
      <w:rFonts w:ascii="Calibri Light" w:hAnsi="Calibri Light" w:eastAsia="" w:cs="" w:asciiTheme="majorHAnsi" w:cstheme="majorBidi" w:eastAsiaTheme="majorEastAsia" w:hAnsiTheme="majorHAnsi"/>
      <w:color w:themeColor="accent1" w:themeShade="bf" w:val="2E74B5"/>
    </w:rPr>
  </w:style>
  <w:style w:type="paragraph" w:styleId="Heading6">
    <w:name w:val="Heading 6"/>
    <w:basedOn w:val="Normal"/>
    <w:next w:val="Normal"/>
    <w:link w:val="Nadpis6Char"/>
    <w:uiPriority w:val="9"/>
    <w:semiHidden/>
    <w:unhideWhenUsed/>
    <w:qFormat/>
    <w:rsid w:val="005e2b7c"/>
    <w:pPr>
      <w:keepNext w:val="true"/>
      <w:keepLines/>
      <w:numPr>
        <w:ilvl w:val="5"/>
        <w:numId w:val="1"/>
      </w:numPr>
      <w:spacing w:before="40" w:after="0"/>
      <w:outlineLvl w:val="5"/>
    </w:pPr>
    <w:rPr>
      <w:rFonts w:ascii="Calibri Light" w:hAnsi="Calibri Light" w:eastAsia="" w:cs="" w:asciiTheme="majorHAnsi" w:cstheme="majorBidi" w:eastAsiaTheme="majorEastAsia" w:hAnsiTheme="majorHAnsi"/>
      <w:color w:themeColor="accent1" w:themeShade="7f" w:val="1F4D78"/>
    </w:rPr>
  </w:style>
  <w:style w:type="paragraph" w:styleId="Heading7">
    <w:name w:val="Heading 7"/>
    <w:basedOn w:val="Normal"/>
    <w:next w:val="Normal"/>
    <w:link w:val="Nadpis7Char"/>
    <w:uiPriority w:val="9"/>
    <w:semiHidden/>
    <w:unhideWhenUsed/>
    <w:qFormat/>
    <w:rsid w:val="005e2b7c"/>
    <w:pPr>
      <w:keepNext w:val="true"/>
      <w:keepLines/>
      <w:numPr>
        <w:ilvl w:val="6"/>
        <w:numId w:val="1"/>
      </w:numPr>
      <w:spacing w:before="40" w:after="0"/>
      <w:outlineLvl w:val="6"/>
    </w:pPr>
    <w:rPr>
      <w:rFonts w:ascii="Calibri Light" w:hAnsi="Calibri Light" w:eastAsia="" w:cs="" w:asciiTheme="majorHAnsi" w:cstheme="majorBidi" w:eastAsiaTheme="majorEastAsia" w:hAnsiTheme="majorHAnsi"/>
      <w:i/>
      <w:iCs/>
      <w:color w:themeColor="accent1" w:themeShade="7f" w:val="1F4D78"/>
    </w:rPr>
  </w:style>
  <w:style w:type="paragraph" w:styleId="Heading8">
    <w:name w:val="Heading 8"/>
    <w:basedOn w:val="Normal"/>
    <w:next w:val="Normal"/>
    <w:link w:val="Nadpis8Char"/>
    <w:uiPriority w:val="9"/>
    <w:semiHidden/>
    <w:unhideWhenUsed/>
    <w:qFormat/>
    <w:rsid w:val="005e2b7c"/>
    <w:pPr>
      <w:keepNext w:val="true"/>
      <w:keepLines/>
      <w:numPr>
        <w:ilvl w:val="7"/>
        <w:numId w:val="1"/>
      </w:numPr>
      <w:spacing w:before="40" w:after="0"/>
      <w:outlineLvl w:val="7"/>
    </w:pPr>
    <w:rPr>
      <w:rFonts w:ascii="Calibri Light" w:hAnsi="Calibri Light" w:eastAsia="" w:cs="" w:asciiTheme="majorHAnsi" w:cstheme="majorBidi" w:eastAsiaTheme="majorEastAsia" w:hAnsiTheme="majorHAnsi"/>
      <w:color w:themeColor="text1" w:themeTint="d8" w:val="272727"/>
      <w:sz w:val="21"/>
      <w:szCs w:val="21"/>
    </w:rPr>
  </w:style>
  <w:style w:type="paragraph" w:styleId="Heading9">
    <w:name w:val="Heading 9"/>
    <w:basedOn w:val="Normal"/>
    <w:next w:val="Normal"/>
    <w:link w:val="Nadpis9Char"/>
    <w:uiPriority w:val="9"/>
    <w:semiHidden/>
    <w:unhideWhenUsed/>
    <w:qFormat/>
    <w:rsid w:val="005e2b7c"/>
    <w:pPr>
      <w:keepNext w:val="true"/>
      <w:keepLines/>
      <w:numPr>
        <w:ilvl w:val="8"/>
        <w:numId w:val="1"/>
      </w:numPr>
      <w:spacing w:before="40" w:after="0"/>
      <w:outlineLvl w:val="8"/>
    </w:pPr>
    <w:rPr>
      <w:rFonts w:ascii="Calibri Light" w:hAnsi="Calibri Light" w:eastAsia="" w:cs="" w:asciiTheme="majorHAnsi" w:cstheme="majorBidi" w:eastAsiaTheme="majorEastAsia" w:hAnsiTheme="majorHAnsi"/>
      <w:i/>
      <w:iCs/>
      <w:color w:themeColor="text1" w:themeTint="d8" w:val="272727"/>
      <w:sz w:val="21"/>
      <w:szCs w:val="21"/>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uiPriority w:val="9"/>
    <w:qFormat/>
    <w:rsid w:val="000465f1"/>
    <w:rPr>
      <w:rFonts w:ascii="Calibri" w:hAnsi="Calibri" w:eastAsia="" w:asciiTheme="minorHAnsi" w:eastAsiaTheme="minorEastAsia" w:hAnsiTheme="minorHAnsi"/>
      <w:b/>
      <w:bCs/>
      <w:color w:themeColor="accent1" w:val="5B9BD5"/>
      <w:kern w:val="2"/>
      <w:sz w:val="48"/>
      <w:szCs w:val="48"/>
    </w:rPr>
  </w:style>
  <w:style w:type="character" w:styleId="Nadpis2Char" w:customStyle="1">
    <w:name w:val="Nadpis 2 Char"/>
    <w:basedOn w:val="DefaultParagraphFont"/>
    <w:uiPriority w:val="9"/>
    <w:qFormat/>
    <w:rsid w:val="000465f1"/>
    <w:rPr>
      <w:rFonts w:ascii="Calibri" w:hAnsi="Calibri" w:eastAsia="" w:asciiTheme="minorHAnsi" w:eastAsiaTheme="minorEastAsia" w:hAnsiTheme="minorHAnsi"/>
      <w:b/>
      <w:bCs/>
      <w:sz w:val="36"/>
      <w:szCs w:val="36"/>
    </w:rPr>
  </w:style>
  <w:style w:type="character" w:styleId="Strong">
    <w:name w:val="Strong"/>
    <w:basedOn w:val="DefaultParagraphFont"/>
    <w:uiPriority w:val="22"/>
    <w:qFormat/>
    <w:rsid w:val="005e2b7c"/>
    <w:rPr>
      <w:b/>
      <w:bCs/>
    </w:rPr>
  </w:style>
  <w:style w:type="character" w:styleId="Nadpis4Char" w:customStyle="1">
    <w:name w:val="Nadpis 4 Char"/>
    <w:basedOn w:val="DefaultParagraphFont"/>
    <w:uiPriority w:val="9"/>
    <w:qFormat/>
    <w:rsid w:val="005e2b7c"/>
    <w:rPr>
      <w:rFonts w:ascii="Calibri" w:hAnsi="Calibri" w:eastAsia="" w:asciiTheme="minorHAnsi" w:eastAsiaTheme="minorEastAsia" w:hAnsiTheme="minorHAnsi"/>
      <w:b/>
      <w:bCs/>
      <w:sz w:val="22"/>
      <w:szCs w:val="24"/>
    </w:rPr>
  </w:style>
  <w:style w:type="character" w:styleId="Nadpis3Char" w:customStyle="1">
    <w:name w:val="Nadpis 3 Char"/>
    <w:basedOn w:val="DefaultParagraphFont"/>
    <w:uiPriority w:val="9"/>
    <w:qFormat/>
    <w:rsid w:val="000465f1"/>
    <w:rPr>
      <w:rFonts w:ascii="Calibri" w:hAnsi="Calibri" w:eastAsia="" w:asciiTheme="minorHAnsi" w:eastAsiaTheme="minorEastAsia" w:hAnsiTheme="minorHAnsi"/>
      <w:b/>
      <w:bCs/>
      <w:sz w:val="27"/>
      <w:szCs w:val="27"/>
    </w:rPr>
  </w:style>
  <w:style w:type="character" w:styleId="Hyperlink">
    <w:name w:val="Hyperlink"/>
    <w:basedOn w:val="DefaultParagraphFont"/>
    <w:uiPriority w:val="99"/>
    <w:unhideWhenUsed/>
    <w:rsid w:val="005e2b7c"/>
    <w:rPr>
      <w:color w:themeColor="hyperlink" w:val="0563C1"/>
      <w:u w:val="single"/>
    </w:rPr>
  </w:style>
  <w:style w:type="character" w:styleId="Nadpis5Char" w:customStyle="1">
    <w:name w:val="Nadpis 5 Char"/>
    <w:basedOn w:val="DefaultParagraphFont"/>
    <w:uiPriority w:val="9"/>
    <w:semiHidden/>
    <w:qFormat/>
    <w:rsid w:val="005e2b7c"/>
    <w:rPr>
      <w:rFonts w:ascii="Calibri Light" w:hAnsi="Calibri Light" w:eastAsia="" w:cs="" w:asciiTheme="majorHAnsi" w:cstheme="majorBidi" w:eastAsiaTheme="majorEastAsia" w:hAnsiTheme="majorHAnsi"/>
      <w:color w:themeColor="accent1" w:themeShade="bf" w:val="2E74B5"/>
      <w:sz w:val="22"/>
      <w:szCs w:val="24"/>
    </w:rPr>
  </w:style>
  <w:style w:type="character" w:styleId="Nadpis6Char" w:customStyle="1">
    <w:name w:val="Nadpis 6 Char"/>
    <w:basedOn w:val="DefaultParagraphFont"/>
    <w:uiPriority w:val="9"/>
    <w:semiHidden/>
    <w:qFormat/>
    <w:rsid w:val="005e2b7c"/>
    <w:rPr>
      <w:rFonts w:ascii="Calibri Light" w:hAnsi="Calibri Light" w:eastAsia="" w:cs="" w:asciiTheme="majorHAnsi" w:cstheme="majorBidi" w:eastAsiaTheme="majorEastAsia" w:hAnsiTheme="majorHAnsi"/>
      <w:color w:themeColor="accent1" w:themeShade="7f" w:val="1F4D78"/>
      <w:sz w:val="22"/>
      <w:szCs w:val="24"/>
    </w:rPr>
  </w:style>
  <w:style w:type="character" w:styleId="Nadpis7Char" w:customStyle="1">
    <w:name w:val="Nadpis 7 Char"/>
    <w:basedOn w:val="DefaultParagraphFont"/>
    <w:uiPriority w:val="9"/>
    <w:semiHidden/>
    <w:qFormat/>
    <w:rsid w:val="005e2b7c"/>
    <w:rPr>
      <w:rFonts w:ascii="Calibri Light" w:hAnsi="Calibri Light" w:eastAsia="" w:cs="" w:asciiTheme="majorHAnsi" w:cstheme="majorBidi" w:eastAsiaTheme="majorEastAsia" w:hAnsiTheme="majorHAnsi"/>
      <w:i/>
      <w:iCs/>
      <w:color w:themeColor="accent1" w:themeShade="7f" w:val="1F4D78"/>
      <w:sz w:val="22"/>
      <w:szCs w:val="24"/>
    </w:rPr>
  </w:style>
  <w:style w:type="character" w:styleId="Nadpis8Char" w:customStyle="1">
    <w:name w:val="Nadpis 8 Char"/>
    <w:basedOn w:val="DefaultParagraphFont"/>
    <w:uiPriority w:val="9"/>
    <w:semiHidden/>
    <w:qFormat/>
    <w:rsid w:val="005e2b7c"/>
    <w:rPr>
      <w:rFonts w:ascii="Calibri Light" w:hAnsi="Calibri Light" w:eastAsia="" w:cs="" w:asciiTheme="majorHAnsi" w:cstheme="majorBidi" w:eastAsiaTheme="majorEastAsia" w:hAnsiTheme="majorHAnsi"/>
      <w:color w:themeColor="text1" w:themeTint="d8" w:val="272727"/>
      <w:sz w:val="21"/>
      <w:szCs w:val="21"/>
    </w:rPr>
  </w:style>
  <w:style w:type="character" w:styleId="Nadpis9Char" w:customStyle="1">
    <w:name w:val="Nadpis 9 Char"/>
    <w:basedOn w:val="DefaultParagraphFont"/>
    <w:uiPriority w:val="9"/>
    <w:semiHidden/>
    <w:qFormat/>
    <w:rsid w:val="005e2b7c"/>
    <w:rPr>
      <w:rFonts w:ascii="Calibri Light" w:hAnsi="Calibri Light" w:eastAsia="" w:cs="" w:asciiTheme="majorHAnsi" w:cstheme="majorBidi" w:eastAsiaTheme="majorEastAsia" w:hAnsiTheme="majorHAnsi"/>
      <w:i/>
      <w:iCs/>
      <w:color w:themeColor="text1" w:themeTint="d8" w:val="272727"/>
      <w:sz w:val="21"/>
      <w:szCs w:val="21"/>
    </w:rPr>
  </w:style>
  <w:style w:type="character" w:styleId="ZhlavChar" w:customStyle="1">
    <w:name w:val="Záhlaví Char"/>
    <w:basedOn w:val="DefaultParagraphFont"/>
    <w:uiPriority w:val="99"/>
    <w:qFormat/>
    <w:rsid w:val="005e2b7c"/>
    <w:rPr>
      <w:rFonts w:ascii="Calibri" w:hAnsi="Calibri" w:eastAsia="" w:asciiTheme="minorHAnsi" w:eastAsiaTheme="minorEastAsia" w:hAnsiTheme="minorHAnsi"/>
      <w:sz w:val="24"/>
      <w:szCs w:val="24"/>
    </w:rPr>
  </w:style>
  <w:style w:type="character" w:styleId="ZpatChar" w:customStyle="1">
    <w:name w:val="Zápatí Char"/>
    <w:basedOn w:val="DefaultParagraphFont"/>
    <w:uiPriority w:val="99"/>
    <w:qFormat/>
    <w:rsid w:val="005e2b7c"/>
    <w:rPr>
      <w:rFonts w:ascii="Calibri" w:hAnsi="Calibri" w:eastAsia="" w:asciiTheme="minorHAnsi" w:eastAsiaTheme="minorEastAsia" w:hAnsiTheme="minorHAnsi"/>
      <w:sz w:val="24"/>
      <w:szCs w:val="24"/>
    </w:rPr>
  </w:style>
  <w:style w:type="character" w:styleId="TextbublinyChar" w:customStyle="1">
    <w:name w:val="Text bubliny Char"/>
    <w:basedOn w:val="DefaultParagraphFont"/>
    <w:link w:val="BalloonText"/>
    <w:uiPriority w:val="99"/>
    <w:semiHidden/>
    <w:qFormat/>
    <w:rsid w:val="00e236a1"/>
    <w:rPr>
      <w:rFonts w:ascii="Segoe UI" w:hAnsi="Segoe UI" w:eastAsia="" w:cs="Segoe UI" w:eastAsiaTheme="minorEastAsia"/>
      <w:sz w:val="18"/>
      <w:szCs w:val="18"/>
    </w:rPr>
  </w:style>
  <w:style w:type="character" w:styleId="Annotationreference">
    <w:name w:val="annotation reference"/>
    <w:basedOn w:val="DefaultParagraphFont"/>
    <w:uiPriority w:val="99"/>
    <w:semiHidden/>
    <w:unhideWhenUsed/>
    <w:qFormat/>
    <w:rPr>
      <w:sz w:val="16"/>
      <w:szCs w:val="16"/>
    </w:rPr>
  </w:style>
  <w:style w:type="character" w:styleId="TextkomenteChar" w:customStyle="1">
    <w:name w:val="Text komentáře Char"/>
    <w:basedOn w:val="DefaultParagraphFont"/>
    <w:link w:val="Annotationtext"/>
    <w:uiPriority w:val="99"/>
    <w:qFormat/>
    <w:rPr>
      <w:rFonts w:ascii="Calibri" w:hAnsi="Calibri" w:eastAsia="" w:asciiTheme="minorHAnsi" w:eastAsiaTheme="minorEastAsia" w:hAnsiTheme="minorHAnsi"/>
    </w:rPr>
  </w:style>
  <w:style w:type="character" w:styleId="PedmtkomenteChar" w:customStyle="1">
    <w:name w:val="Předmět komentáře Char"/>
    <w:basedOn w:val="TextkomenteChar"/>
    <w:link w:val="Annotationsubject"/>
    <w:uiPriority w:val="99"/>
    <w:semiHidden/>
    <w:qFormat/>
    <w:rsid w:val="00a04770"/>
    <w:rPr>
      <w:rFonts w:ascii="Calibri" w:hAnsi="Calibri" w:eastAsia="" w:asciiTheme="minorHAnsi" w:eastAsiaTheme="minorEastAsia" w:hAnsiTheme="minorHAnsi"/>
      <w:b/>
      <w:bCs/>
    </w:rPr>
  </w:style>
  <w:style w:type="character" w:styleId="BezmezerChar" w:customStyle="1">
    <w:name w:val="Bez mezer Char"/>
    <w:basedOn w:val="DefaultParagraphFont"/>
    <w:link w:val="NoSpacing"/>
    <w:uiPriority w:val="1"/>
    <w:qFormat/>
    <w:rsid w:val="002e35a6"/>
    <w:rPr>
      <w:rFonts w:ascii="Calibri" w:hAnsi="Calibri" w:eastAsia="" w:cs="" w:asciiTheme="minorHAnsi" w:cstheme="minorBidi" w:eastAsiaTheme="minorEastAsia" w:hAnsiTheme="minorHAnsi"/>
      <w:sz w:val="22"/>
      <w:szCs w:val="22"/>
    </w:rPr>
  </w:style>
  <w:style w:type="character" w:styleId="PlaceholderText">
    <w:name w:val="Placeholder Text"/>
    <w:uiPriority w:val="99"/>
    <w:semiHidden/>
    <w:qFormat/>
    <w:rsid w:val="002e35a6"/>
    <w:rPr>
      <w:color w:val="808080"/>
    </w:rPr>
  </w:style>
  <w:style w:type="character" w:styleId="Odkaznarejstk">
    <w:name w:val="Odkaz na rejstřík"/>
    <w:qFormat/>
    <w:rPr/>
  </w:style>
  <w:style w:type="paragraph" w:styleId="Nadpis">
    <w:name w:val="Nadpis"/>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 w:type="paragraph" w:styleId="NormalWeb">
    <w:name w:val="Normal (Web)"/>
    <w:basedOn w:val="Normal"/>
    <w:uiPriority w:val="99"/>
    <w:unhideWhenUsed/>
    <w:qFormat/>
    <w:rsid w:val="005e2b7c"/>
    <w:pPr>
      <w:spacing w:beforeAutospacing="1" w:afterAutospacing="1"/>
    </w:pPr>
    <w:rPr/>
  </w:style>
  <w:style w:type="paragraph" w:styleId="ListParagraph">
    <w:name w:val="List Paragraph"/>
    <w:basedOn w:val="Normal"/>
    <w:uiPriority w:val="34"/>
    <w:qFormat/>
    <w:rsid w:val="005e2b7c"/>
    <w:pPr>
      <w:spacing w:before="0" w:after="0"/>
      <w:ind w:left="720"/>
      <w:contextualSpacing/>
    </w:pPr>
    <w:rPr/>
  </w:style>
  <w:style w:type="paragraph" w:styleId="IndexHeading">
    <w:name w:val="Index Heading"/>
    <w:basedOn w:val="Nadpis"/>
    <w:pPr/>
    <w:rPr/>
  </w:style>
  <w:style w:type="paragraph" w:styleId="TOCHeading">
    <w:name w:val="TOC Heading"/>
    <w:basedOn w:val="Heading1"/>
    <w:next w:val="Normal"/>
    <w:uiPriority w:val="39"/>
    <w:unhideWhenUsed/>
    <w:qFormat/>
    <w:rsid w:val="005e2b7c"/>
    <w:pPr>
      <w:keepLines/>
      <w:numPr>
        <w:ilvl w:val="0"/>
        <w:numId w:val="0"/>
      </w:numPr>
      <w:spacing w:lineRule="auto" w:line="259" w:beforeAutospacing="0" w:before="240" w:afterAutospacing="0" w:after="0"/>
      <w:ind w:hanging="431" w:left="431"/>
      <w:outlineLvl w:val="9"/>
    </w:pPr>
    <w:rPr>
      <w:rFonts w:ascii="Calibri Light" w:hAnsi="Calibri Light" w:eastAsia="" w:cs="" w:asciiTheme="majorHAnsi" w:cstheme="majorBidi" w:eastAsiaTheme="majorEastAsia" w:hAnsiTheme="majorHAnsi"/>
      <w:b w:val="false"/>
      <w:bCs w:val="false"/>
      <w:color w:themeColor="accent1" w:themeShade="bf" w:val="2E74B5"/>
      <w:kern w:val="0"/>
      <w:sz w:val="32"/>
      <w:szCs w:val="32"/>
    </w:rPr>
  </w:style>
  <w:style w:type="paragraph" w:styleId="TOC1">
    <w:name w:val="TOC 1"/>
    <w:basedOn w:val="Normal"/>
    <w:next w:val="Normal"/>
    <w:autoRedefine/>
    <w:uiPriority w:val="39"/>
    <w:unhideWhenUsed/>
    <w:rsid w:val="00463c93"/>
    <w:pPr>
      <w:tabs>
        <w:tab w:val="clear" w:pos="708"/>
        <w:tab w:val="left" w:pos="851" w:leader="none"/>
        <w:tab w:val="right" w:pos="9072" w:leader="dot"/>
      </w:tabs>
    </w:pPr>
    <w:rPr/>
  </w:style>
  <w:style w:type="paragraph" w:styleId="TOC2">
    <w:name w:val="TOC 2"/>
    <w:basedOn w:val="Normal"/>
    <w:next w:val="Normal"/>
    <w:autoRedefine/>
    <w:uiPriority w:val="39"/>
    <w:unhideWhenUsed/>
    <w:rsid w:val="00463c93"/>
    <w:pPr>
      <w:tabs>
        <w:tab w:val="clear" w:pos="708"/>
        <w:tab w:val="left" w:pos="851" w:leader="none"/>
        <w:tab w:val="right" w:pos="9072" w:leader="dot"/>
      </w:tabs>
    </w:pPr>
    <w:rPr/>
  </w:style>
  <w:style w:type="paragraph" w:styleId="TOC3">
    <w:name w:val="TOC 3"/>
    <w:basedOn w:val="Normal"/>
    <w:next w:val="Normal"/>
    <w:autoRedefine/>
    <w:uiPriority w:val="39"/>
    <w:unhideWhenUsed/>
    <w:rsid w:val="00463c93"/>
    <w:pPr>
      <w:tabs>
        <w:tab w:val="clear" w:pos="708"/>
        <w:tab w:val="left" w:pos="851" w:leader="none"/>
        <w:tab w:val="right" w:pos="9072" w:leader="dot"/>
      </w:tabs>
    </w:pPr>
    <w:rPr/>
  </w:style>
  <w:style w:type="paragraph" w:styleId="Zhlavazpat">
    <w:name w:val="Záhlaví a zápatí"/>
    <w:basedOn w:val="Normal"/>
    <w:qFormat/>
    <w:pPr/>
    <w:rPr/>
  </w:style>
  <w:style w:type="paragraph" w:styleId="Header">
    <w:name w:val="Header"/>
    <w:basedOn w:val="Normal"/>
    <w:link w:val="ZhlavChar"/>
    <w:uiPriority w:val="99"/>
    <w:unhideWhenUsed/>
    <w:rsid w:val="005e2b7c"/>
    <w:pPr>
      <w:tabs>
        <w:tab w:val="clear" w:pos="708"/>
        <w:tab w:val="center" w:pos="4536" w:leader="none"/>
        <w:tab w:val="right" w:pos="9072" w:leader="none"/>
      </w:tabs>
      <w:spacing w:lineRule="auto" w:line="240"/>
    </w:pPr>
    <w:rPr/>
  </w:style>
  <w:style w:type="paragraph" w:styleId="Footer">
    <w:name w:val="Footer"/>
    <w:basedOn w:val="Normal"/>
    <w:link w:val="ZpatChar"/>
    <w:uiPriority w:val="99"/>
    <w:unhideWhenUsed/>
    <w:rsid w:val="005e2b7c"/>
    <w:pPr>
      <w:tabs>
        <w:tab w:val="clear" w:pos="708"/>
        <w:tab w:val="center" w:pos="4536" w:leader="none"/>
        <w:tab w:val="right" w:pos="9072" w:leader="none"/>
      </w:tabs>
      <w:spacing w:lineRule="auto" w:line="240"/>
    </w:pPr>
    <w:rPr/>
  </w:style>
  <w:style w:type="paragraph" w:styleId="Revision">
    <w:name w:val="Revision"/>
    <w:uiPriority w:val="99"/>
    <w:semiHidden/>
    <w:qFormat/>
    <w:rsid w:val="00e236a1"/>
    <w:pPr>
      <w:widowControl/>
      <w:bidi w:val="0"/>
      <w:spacing w:before="0" w:after="0"/>
      <w:jc w:val="left"/>
    </w:pPr>
    <w:rPr>
      <w:rFonts w:ascii="Calibri" w:hAnsi="Calibri" w:eastAsia="" w:asciiTheme="minorHAnsi" w:eastAsiaTheme="minorEastAsia" w:hAnsiTheme="minorHAnsi" w:cs="Times New Roman"/>
      <w:color w:val="auto"/>
      <w:kern w:val="0"/>
      <w:sz w:val="24"/>
      <w:szCs w:val="24"/>
      <w:lang w:val="cs-CZ" w:eastAsia="cs-CZ" w:bidi="ar-SA"/>
    </w:rPr>
  </w:style>
  <w:style w:type="paragraph" w:styleId="BalloonText">
    <w:name w:val="Balloon Text"/>
    <w:basedOn w:val="Normal"/>
    <w:link w:val="TextbublinyChar"/>
    <w:uiPriority w:val="99"/>
    <w:semiHidden/>
    <w:unhideWhenUsed/>
    <w:qFormat/>
    <w:rsid w:val="00e236a1"/>
    <w:pPr>
      <w:spacing w:lineRule="auto" w:line="240"/>
    </w:pPr>
    <w:rPr>
      <w:rFonts w:ascii="Segoe UI" w:hAnsi="Segoe UI" w:cs="Segoe UI"/>
      <w:sz w:val="18"/>
      <w:szCs w:val="18"/>
    </w:rPr>
  </w:style>
  <w:style w:type="paragraph" w:styleId="Annotationtext">
    <w:name w:val="annotation text"/>
    <w:basedOn w:val="Normal"/>
    <w:link w:val="TextkomenteChar"/>
    <w:uiPriority w:val="99"/>
    <w:unhideWhenUsed/>
    <w:qFormat/>
    <w:pPr>
      <w:spacing w:lineRule="auto" w:line="240"/>
    </w:pPr>
    <w:rPr>
      <w:sz w:val="20"/>
      <w:szCs w:val="20"/>
    </w:rPr>
  </w:style>
  <w:style w:type="paragraph" w:styleId="Annotationsubject">
    <w:name w:val="annotation subject"/>
    <w:basedOn w:val="Annotationtext"/>
    <w:next w:val="Annotationtext"/>
    <w:link w:val="PedmtkomenteChar"/>
    <w:uiPriority w:val="99"/>
    <w:semiHidden/>
    <w:unhideWhenUsed/>
    <w:qFormat/>
    <w:rsid w:val="00a04770"/>
    <w:pPr/>
    <w:rPr>
      <w:b/>
      <w:bCs/>
    </w:rPr>
  </w:style>
  <w:style w:type="paragraph" w:styleId="TabulkaHlavicka" w:customStyle="1">
    <w:name w:val="Tabulka_Hlavicka"/>
    <w:basedOn w:val="Normal"/>
    <w:qFormat/>
    <w:rsid w:val="006c0091"/>
    <w:pPr>
      <w:shd w:val="clear" w:color="auto" w:fill="9CC2E5" w:themeFill="accent1" w:themeFillTint="99"/>
    </w:pPr>
    <w:rPr>
      <w:sz w:val="24"/>
    </w:rPr>
  </w:style>
  <w:style w:type="paragraph" w:styleId="TabulkaSouhrn" w:customStyle="1">
    <w:name w:val="Tabulka_Souhrn"/>
    <w:basedOn w:val="Normal"/>
    <w:qFormat/>
    <w:rsid w:val="006c0091"/>
    <w:pPr>
      <w:shd w:val="clear" w:color="auto" w:fill="DEEAF6" w:themeFill="accent1" w:themeFillTint="33"/>
    </w:pPr>
    <w:rPr>
      <w:sz w:val="24"/>
    </w:rPr>
  </w:style>
  <w:style w:type="paragraph" w:styleId="NoSpacing">
    <w:name w:val="No Spacing"/>
    <w:link w:val="BezmezerChar"/>
    <w:uiPriority w:val="1"/>
    <w:qFormat/>
    <w:rsid w:val="002e35a6"/>
    <w:pPr>
      <w:widowControl/>
      <w:bidi w:val="0"/>
      <w:spacing w:before="0" w:after="0"/>
      <w:jc w:val="left"/>
    </w:pPr>
    <w:rPr>
      <w:rFonts w:ascii="Calibri" w:hAnsi="Calibri" w:eastAsia="" w:cs="" w:asciiTheme="minorHAnsi" w:cstheme="minorBidi" w:eastAsiaTheme="minorEastAsia" w:hAnsiTheme="minorHAnsi"/>
      <w:color w:val="auto"/>
      <w:kern w:val="0"/>
      <w:sz w:val="22"/>
      <w:szCs w:val="22"/>
      <w:lang w:val="cs-CZ" w:eastAsia="cs-CZ" w:bidi="ar-SA"/>
    </w:rPr>
  </w:style>
  <w:style w:type="paragraph" w:styleId="TOC4">
    <w:name w:val="TOC 4"/>
    <w:basedOn w:val="Rejstk"/>
    <w:pPr/>
    <w:rPr/>
  </w:style>
  <w:style w:type="paragraph" w:styleId="TOC5">
    <w:name w:val="TOC 5"/>
    <w:basedOn w:val="Rejstk"/>
    <w:pPr/>
    <w:rPr/>
  </w:style>
  <w:style w:type="paragraph" w:styleId="TOC6">
    <w:name w:val="TOC 6"/>
    <w:basedOn w:val="Rejstk"/>
    <w:pPr/>
    <w:rPr/>
  </w:style>
  <w:style w:type="paragraph" w:styleId="TOC7">
    <w:name w:val="TOC 7"/>
    <w:basedOn w:val="Rejstk"/>
    <w:pPr/>
    <w:rPr/>
  </w:style>
  <w:style w:type="paragraph" w:styleId="TOC8">
    <w:name w:val="TOC 8"/>
    <w:basedOn w:val="Rejstk"/>
    <w:pPr/>
    <w:rPr/>
  </w:style>
  <w:style w:type="paragraph" w:styleId="TOC9">
    <w:name w:val="TOC 9"/>
    <w:basedOn w:val="Rejstk"/>
    <w:pPr/>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 w:type="table" w:styleId="Mkatabulky">
    <w:name w:val="Table Grid"/>
    <w:basedOn w:val="Normlntabulka"/>
    <w:uiPriority w:val="59"/>
    <w:rsid w:val="005e2b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tednseznam1zvraznn6">
    <w:name w:val="Medium List 1 Accent 6"/>
    <w:basedOn w:val="Normlntabulka"/>
    <w:uiPriority w:val="65"/>
    <w:rsid w:val="005e2b7c"/>
    <w:rPr>
      <w:color w:themeColor="text1"/>
    </w:rPr>
    <w:tblPr>
      <w:tblStyleRowBandSize w:val="1"/>
      <w:tblStyleColBandSize w:val="1"/>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themeColor="text2"/>
      </w:rPr>
      <w:tblPr/>
      <w:tcPr>
        <w:tcBorders>
          <w:top w:val="single" w:color="70AD47" w:themeColor="accent6" w:sz="8" w:space="0"/>
          <w:bottom w:val="single" w:color="70AD47" w:themeColor="accent6" w:sz="8" w:space="0"/>
        </w:tcBorders>
      </w:tcPr>
    </w:tblStylePr>
    <w:tblStylePr w:type="firstCol">
      <w:rPr>
        <w:b/>
        <w:bCs/>
      </w:rPr>
      <w:tbl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blPr/>
      <w:tcPr>
        <w:tcBorders>
          <w:top w:val="double" w:color="ED7D31" w:themeColor="accent2" w:sz="4" w:space="0"/>
        </w:tcBorders>
      </w:tcPr>
    </w:tblStylePr>
    <w:tblStylePr w:type="firstCol">
      <w:rPr>
        <w:b/>
        <w:bCs/>
      </w:rPr>
      <w:tblPr/>
    </w:tblStylePr>
    <w:tblStylePr w:type="lastCol">
      <w:rPr>
        <w:b/>
        <w:bCs/>
      </w:rPr>
      <w:tbl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pPr>
        <w:wordWrap/>
      </w:pPr>
      <w:rPr>
        <w:rFonts w:asciiTheme="minorHAnsi" w:hAnsiTheme="minorHAnsi"/>
        <w:sz w:val="22"/>
      </w:rPr>
      <w:tbl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p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header" Target="header9.xml"/><Relationship Id="rId19" Type="http://schemas.openxmlformats.org/officeDocument/2006/relationships/header" Target="header10.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header" Target="header11.xml"/><Relationship Id="rId23" Type="http://schemas.openxmlformats.org/officeDocument/2006/relationships/header" Target="header12.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header" Target="header15.xml"/><Relationship Id="rId31" Type="http://schemas.openxmlformats.org/officeDocument/2006/relationships/header" Target="header16.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Relationship Id="rId38" Type="http://schemas.openxmlformats.org/officeDocument/2006/relationships/customXml" Target="../customXml/item1.xml"/><Relationship Id="rId39"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B5604-20B3-4258-A41A-11CB11857286}">
  <ds:schemaRefs>
    <ds:schemaRef ds:uri="http://schemas.openxmlformats.org/officeDocument/2006/bibliography"/>
  </ds:schemaRefs>
</ds:datastoreItem>
</file>

<file path=customXml/itemProps2.xml><?xml version="1.0" encoding="utf-8"?>
<ds:datastoreItem xmlns:ds="http://schemas.openxmlformats.org/officeDocument/2006/customXml" ds:itemID="{FB386E20-9405-4137-971E-4379AA6C5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LibreOffice/7.6.7.2$Windows_X86_64 LibreOffice_project/dd47e4b30cb7dab30588d6c79c651f218165e3c5</Application>
  <AppVersion>15.0000</AppVersion>
  <Pages>32</Pages>
  <Words>8744</Words>
  <Characters>51816</Characters>
  <CharactersWithSpaces>60716</CharactersWithSpaces>
  <Paragraphs>518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2023-08-29T06:02:00Z</dcterms:created>
  <dc:creator/>
  <dc:description/>
  <dc:language>cs-CZ</dc:language>
  <cp:lastModifiedBy/>
  <dcterms:modified xsi:type="dcterms:W3CDTF">2023-08-29T06:07:00Z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