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3F" w:rsidRDefault="00C4203F" w:rsidP="00C42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O ČINNOSTI ŠKOLY 2019/2020</w:t>
      </w:r>
    </w:p>
    <w:p w:rsidR="00C4203F" w:rsidRDefault="00C4203F" w:rsidP="00C4203F">
      <w:pPr>
        <w:jc w:val="center"/>
        <w:rPr>
          <w:b/>
          <w:sz w:val="32"/>
          <w:szCs w:val="32"/>
        </w:rPr>
      </w:pPr>
    </w:p>
    <w:p w:rsidR="00C4203F" w:rsidRDefault="00C4203F" w:rsidP="00C4203F">
      <w:pPr>
        <w:jc w:val="center"/>
        <w:rPr>
          <w:b/>
          <w:sz w:val="32"/>
          <w:szCs w:val="32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NÁZEV ŠKOLY: </w:t>
      </w:r>
      <w:r>
        <w:rPr>
          <w:sz w:val="24"/>
          <w:szCs w:val="24"/>
        </w:rPr>
        <w:t>Základní škola a mateřská škola Chudčice, okres Brno – venkov, příspěvková organizace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IDENTIFIKÁTOR ZAŘÍZENÍ: </w:t>
      </w:r>
      <w:r>
        <w:rPr>
          <w:sz w:val="24"/>
          <w:szCs w:val="24"/>
        </w:rPr>
        <w:t>600 109 879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ADRESA: </w:t>
      </w:r>
      <w:r>
        <w:rPr>
          <w:sz w:val="24"/>
          <w:szCs w:val="24"/>
        </w:rPr>
        <w:t>Chudčice 19, Veverská Bítýška, 664 71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PRÁVNÍ FORMA: </w:t>
      </w:r>
      <w:r>
        <w:rPr>
          <w:sz w:val="24"/>
          <w:szCs w:val="24"/>
        </w:rPr>
        <w:t>příspěvková organizace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24"/>
          <w:szCs w:val="24"/>
        </w:rPr>
        <w:t>75 00 29 81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ZŘIZOVATEL: </w:t>
      </w:r>
      <w:r>
        <w:rPr>
          <w:sz w:val="24"/>
          <w:szCs w:val="24"/>
        </w:rPr>
        <w:t xml:space="preserve">Obec Chudčice 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tabs>
          <w:tab w:val="left" w:pos="5073"/>
        </w:tabs>
        <w:rPr>
          <w:sz w:val="24"/>
          <w:szCs w:val="24"/>
        </w:rPr>
      </w:pPr>
      <w:r>
        <w:rPr>
          <w:b/>
          <w:sz w:val="24"/>
          <w:szCs w:val="24"/>
        </w:rPr>
        <w:t>PRÁVNÍ FORMA:</w:t>
      </w:r>
      <w:r>
        <w:rPr>
          <w:sz w:val="24"/>
          <w:szCs w:val="24"/>
        </w:rPr>
        <w:t xml:space="preserve"> obec</w:t>
      </w:r>
      <w:r>
        <w:rPr>
          <w:sz w:val="24"/>
          <w:szCs w:val="24"/>
        </w:rPr>
        <w:tab/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24"/>
          <w:szCs w:val="24"/>
        </w:rPr>
        <w:t>00 362 956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ADRESA: </w:t>
      </w:r>
      <w:r>
        <w:rPr>
          <w:sz w:val="24"/>
          <w:szCs w:val="24"/>
        </w:rPr>
        <w:t>Chudčice 220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664 71 Veverská Bítýška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ŘEDITELKA ŠKOLY: </w:t>
      </w:r>
      <w:r>
        <w:rPr>
          <w:sz w:val="24"/>
          <w:szCs w:val="24"/>
        </w:rPr>
        <w:t>Mgr. Lenka Truhlářová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 ZAŘAZENÍ DO SÍTĚ ŠKOL: </w:t>
      </w:r>
      <w:proofErr w:type="gramStart"/>
      <w:r>
        <w:rPr>
          <w:sz w:val="24"/>
          <w:szCs w:val="24"/>
        </w:rPr>
        <w:t>1.9.2004</w:t>
      </w:r>
      <w:proofErr w:type="gramEnd"/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4"/>
          <w:szCs w:val="24"/>
        </w:rPr>
      </w:pPr>
      <w:r>
        <w:rPr>
          <w:b/>
          <w:sz w:val="24"/>
          <w:szCs w:val="24"/>
        </w:rPr>
        <w:t>ŠKOLA SDRUŽUJE:</w:t>
      </w: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MATEŘSKÁ </w:t>
      </w:r>
      <w:proofErr w:type="gramStart"/>
      <w:r>
        <w:rPr>
          <w:b/>
          <w:sz w:val="24"/>
          <w:szCs w:val="24"/>
        </w:rPr>
        <w:t xml:space="preserve">ŠKOLA       </w:t>
      </w:r>
      <w:r>
        <w:rPr>
          <w:sz w:val="24"/>
          <w:szCs w:val="24"/>
        </w:rPr>
        <w:t>kapacita</w:t>
      </w:r>
      <w:proofErr w:type="gramEnd"/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25 </w:t>
      </w:r>
      <w:proofErr w:type="gramStart"/>
      <w:r>
        <w:rPr>
          <w:sz w:val="24"/>
          <w:szCs w:val="24"/>
        </w:rPr>
        <w:t>dětí            IZO</w:t>
      </w:r>
      <w:proofErr w:type="gramEnd"/>
      <w:r>
        <w:rPr>
          <w:sz w:val="24"/>
          <w:szCs w:val="24"/>
        </w:rPr>
        <w:t xml:space="preserve">: 107 603 179      </w:t>
      </w: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ZÁKLADNÍ </w:t>
      </w:r>
      <w:proofErr w:type="gramStart"/>
      <w:r>
        <w:rPr>
          <w:b/>
          <w:sz w:val="24"/>
          <w:szCs w:val="24"/>
        </w:rPr>
        <w:t xml:space="preserve">ŠKOLA         </w:t>
      </w:r>
      <w:r>
        <w:rPr>
          <w:sz w:val="24"/>
          <w:szCs w:val="24"/>
        </w:rPr>
        <w:t>kapacita</w:t>
      </w:r>
      <w:proofErr w:type="gramEnd"/>
      <w:r>
        <w:rPr>
          <w:sz w:val="24"/>
          <w:szCs w:val="24"/>
        </w:rPr>
        <w:t xml:space="preserve">: 55 </w:t>
      </w:r>
      <w:proofErr w:type="gramStart"/>
      <w:r>
        <w:rPr>
          <w:sz w:val="24"/>
          <w:szCs w:val="24"/>
        </w:rPr>
        <w:t>žáků          IZO</w:t>
      </w:r>
      <w:proofErr w:type="gramEnd"/>
      <w:r>
        <w:rPr>
          <w:sz w:val="24"/>
          <w:szCs w:val="24"/>
        </w:rPr>
        <w:t>: 150 070 730</w:t>
      </w: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ŠKOLNÍ </w:t>
      </w:r>
      <w:proofErr w:type="gramStart"/>
      <w:r>
        <w:rPr>
          <w:b/>
          <w:sz w:val="24"/>
          <w:szCs w:val="24"/>
        </w:rPr>
        <w:t xml:space="preserve">DRUŽINA          </w:t>
      </w:r>
      <w:r>
        <w:rPr>
          <w:sz w:val="24"/>
          <w:szCs w:val="24"/>
        </w:rPr>
        <w:t>kapacita</w:t>
      </w:r>
      <w:proofErr w:type="gramEnd"/>
      <w:r>
        <w:rPr>
          <w:sz w:val="24"/>
          <w:szCs w:val="24"/>
        </w:rPr>
        <w:t xml:space="preserve">: 30 </w:t>
      </w:r>
      <w:proofErr w:type="gramStart"/>
      <w:r>
        <w:rPr>
          <w:sz w:val="24"/>
          <w:szCs w:val="24"/>
        </w:rPr>
        <w:t>žáků          IZO</w:t>
      </w:r>
      <w:proofErr w:type="gramEnd"/>
      <w:r>
        <w:rPr>
          <w:sz w:val="24"/>
          <w:szCs w:val="24"/>
        </w:rPr>
        <w:t>: 150 071 060</w:t>
      </w: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ŠKOLNÍ </w:t>
      </w:r>
      <w:proofErr w:type="gramStart"/>
      <w:r>
        <w:rPr>
          <w:b/>
          <w:sz w:val="24"/>
          <w:szCs w:val="24"/>
        </w:rPr>
        <w:t xml:space="preserve">JÍDELNA           </w:t>
      </w:r>
      <w:r>
        <w:rPr>
          <w:sz w:val="24"/>
          <w:szCs w:val="24"/>
        </w:rPr>
        <w:t>kapacita</w:t>
      </w:r>
      <w:proofErr w:type="gramEnd"/>
      <w:r>
        <w:rPr>
          <w:sz w:val="24"/>
          <w:szCs w:val="24"/>
        </w:rPr>
        <w:t xml:space="preserve">: 100 </w:t>
      </w:r>
      <w:proofErr w:type="gramStart"/>
      <w:r>
        <w:rPr>
          <w:sz w:val="24"/>
          <w:szCs w:val="24"/>
        </w:rPr>
        <w:t>obědů      IZO</w:t>
      </w:r>
      <w:proofErr w:type="gramEnd"/>
      <w:r>
        <w:rPr>
          <w:sz w:val="24"/>
          <w:szCs w:val="24"/>
        </w:rPr>
        <w:t>:  108 010 082</w:t>
      </w: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KONTAKT: tel: </w:t>
      </w:r>
      <w:r>
        <w:rPr>
          <w:sz w:val="24"/>
          <w:szCs w:val="24"/>
        </w:rPr>
        <w:t xml:space="preserve">549 420 379          </w:t>
      </w:r>
    </w:p>
    <w:p w:rsidR="00C4203F" w:rsidRDefault="00C4203F" w:rsidP="00C4203F">
      <w:pPr>
        <w:rPr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 – mail: </w:t>
      </w:r>
      <w:hyperlink r:id="rId5" w:history="1">
        <w:r>
          <w:rPr>
            <w:rStyle w:val="Hypertextovodkaz"/>
            <w:sz w:val="24"/>
            <w:szCs w:val="24"/>
          </w:rPr>
          <w:t>skola@chudcice.cz</w:t>
        </w:r>
      </w:hyperlink>
    </w:p>
    <w:p w:rsidR="00C4203F" w:rsidRDefault="00C4203F" w:rsidP="00C4203F">
      <w:pPr>
        <w:rPr>
          <w:sz w:val="24"/>
          <w:szCs w:val="24"/>
        </w:rPr>
      </w:pPr>
    </w:p>
    <w:p w:rsidR="00C4203F" w:rsidRDefault="008D4593" w:rsidP="00C4203F">
      <w:pPr>
        <w:rPr>
          <w:sz w:val="24"/>
          <w:szCs w:val="24"/>
        </w:rPr>
      </w:pPr>
      <w:hyperlink r:id="rId6" w:history="1">
        <w:r w:rsidR="00C4203F">
          <w:rPr>
            <w:rStyle w:val="Hypertextovodkaz"/>
            <w:b/>
            <w:sz w:val="24"/>
            <w:szCs w:val="24"/>
          </w:rPr>
          <w:t>http</w:t>
        </w:r>
        <w:r w:rsidR="00C4203F">
          <w:rPr>
            <w:rStyle w:val="Hypertextovodkaz"/>
            <w:sz w:val="24"/>
            <w:szCs w:val="24"/>
          </w:rPr>
          <w:t>://chudcice.cz/skola/</w:t>
        </w:r>
      </w:hyperlink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PROVOZ ŠKOLY: 6:15 – 16:15</w:t>
      </w: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CHARAKTERISTIKA ŠKOLY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Základní škola je umístěna spolu s mateřskou školou v jediné budově, v obci Chudčice, mezi městy Kuřim a Veverská Bítýška, nedaleko Brněnské přehrady. Jezdí zde integrovaná doprava. Škola je ukryta ve spoustě zeleně, bokem od frekventované hlavní cesty.  U školy se nachází zahrádka s pískovištěm, prolézačkami, ohništěm.  To vše vytváří příznivé podmínky pro pobyt dětí ve školce i žáků ve škole, což se projevuje nízkou nemocností. Ze strany zřizovatele, rodičů, žáků i pedagogů je oceňováno klidné, nestresové soužití MŠ a ZŠ, vzájemná tolerance a pracovní spolupráce. Tělesná výchova se uskutečňuje v Kulturním domě, kde se nachází i místnost ŠD a třetí třída školy jako odloučené pracoviště. Škola je vytápěna tepelným čerpadlem. V letošním roce se škola zapojila do projektu Mléko do škol, Ovoce do škol, </w:t>
      </w:r>
      <w:proofErr w:type="spellStart"/>
      <w:r>
        <w:rPr>
          <w:sz w:val="24"/>
          <w:szCs w:val="24"/>
        </w:rPr>
        <w:t>Recyklohraní</w:t>
      </w:r>
      <w:proofErr w:type="spellEnd"/>
      <w:r>
        <w:rPr>
          <w:sz w:val="24"/>
          <w:szCs w:val="24"/>
        </w:rPr>
        <w:t>, Zdravá 5.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ZÁKLADNÍ ÚDAJE O ŠKOLE A SOUČÁSTECH, KTERÉ SDRUŽUJE</w:t>
      </w:r>
    </w:p>
    <w:p w:rsidR="00C4203F" w:rsidRDefault="00C4203F" w:rsidP="00C420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1819"/>
        <w:gridCol w:w="1814"/>
        <w:gridCol w:w="1809"/>
        <w:gridCol w:w="1802"/>
        <w:gridCol w:w="1818"/>
      </w:tblGrid>
      <w:tr w:rsidR="00C4203F" w:rsidTr="00C420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Školní rok 2019/2020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tříd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ročníků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žáků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Průměrný počet žáků na třídu</w:t>
            </w:r>
          </w:p>
        </w:tc>
      </w:tr>
      <w:tr w:rsidR="00C4203F" w:rsidTr="00C420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Malotřídní ZŠ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tabs>
                <w:tab w:val="center" w:pos="813"/>
                <w:tab w:val="left" w:pos="132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3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1.     2.    3.    4.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8   10   10     14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 celkem 42 žáků</w:t>
            </w:r>
          </w:p>
        </w:tc>
      </w:tr>
    </w:tbl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 PRACOVNÍKŮ ZŠ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8"/>
        <w:gridCol w:w="4524"/>
      </w:tblGrid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Fyzické osoby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Přepočtení na plně zaměstnané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3,38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Mgr. Lenka </w:t>
      </w:r>
      <w:proofErr w:type="gramStart"/>
      <w:r>
        <w:rPr>
          <w:sz w:val="24"/>
          <w:szCs w:val="24"/>
        </w:rPr>
        <w:t>Truhlářová        ředitelka</w:t>
      </w:r>
      <w:proofErr w:type="gramEnd"/>
      <w:r>
        <w:rPr>
          <w:sz w:val="24"/>
          <w:szCs w:val="24"/>
        </w:rPr>
        <w:t xml:space="preserve"> školy, učitelka II. a III. ročník, koordinátor ŠVP, kvalifikovaná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Mgr. Petra </w:t>
      </w:r>
      <w:proofErr w:type="spellStart"/>
      <w:r>
        <w:rPr>
          <w:sz w:val="24"/>
          <w:szCs w:val="24"/>
        </w:rPr>
        <w:t>Schneiderwindová</w:t>
      </w:r>
      <w:proofErr w:type="spellEnd"/>
      <w:r>
        <w:rPr>
          <w:sz w:val="24"/>
          <w:szCs w:val="24"/>
        </w:rPr>
        <w:t xml:space="preserve">        učitelka I. ročníku, kvalifikovaná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Mgr. Markéta </w:t>
      </w:r>
      <w:proofErr w:type="gramStart"/>
      <w:r>
        <w:rPr>
          <w:sz w:val="24"/>
          <w:szCs w:val="24"/>
        </w:rPr>
        <w:t>Svobodová               učitelka</w:t>
      </w:r>
      <w:proofErr w:type="gramEnd"/>
      <w:r>
        <w:rPr>
          <w:sz w:val="24"/>
          <w:szCs w:val="24"/>
        </w:rPr>
        <w:t xml:space="preserve"> IV. ročníku, kvalifikovaná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Vojtěch Brunclík, Dis.                    </w:t>
      </w:r>
      <w:proofErr w:type="gramStart"/>
      <w:r>
        <w:rPr>
          <w:sz w:val="24"/>
          <w:szCs w:val="24"/>
        </w:rPr>
        <w:t>učitel</w:t>
      </w:r>
      <w:proofErr w:type="gramEnd"/>
      <w:r>
        <w:rPr>
          <w:sz w:val="24"/>
          <w:szCs w:val="24"/>
        </w:rPr>
        <w:t xml:space="preserve"> a vychovatel ŠD</w:t>
      </w:r>
    </w:p>
    <w:p w:rsidR="00C4203F" w:rsidRDefault="00C4203F" w:rsidP="00C4203F">
      <w:pPr>
        <w:rPr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POČET PRACOVNÍKŮ ZŠ a MŠ - </w:t>
      </w:r>
      <w:proofErr w:type="spellStart"/>
      <w:r>
        <w:rPr>
          <w:b/>
          <w:sz w:val="28"/>
          <w:szCs w:val="28"/>
        </w:rPr>
        <w:t>nepedagogů</w:t>
      </w:r>
      <w:proofErr w:type="spellEnd"/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9"/>
        <w:gridCol w:w="4523"/>
      </w:tblGrid>
      <w:tr w:rsidR="00C4203F" w:rsidTr="00C4203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Fyzické osoby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C4203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Přepočtení na plně zaměstnané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C4203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Domovník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8"/>
          <w:szCs w:val="28"/>
        </w:rPr>
      </w:pPr>
      <w:r>
        <w:rPr>
          <w:sz w:val="28"/>
          <w:szCs w:val="28"/>
        </w:rPr>
        <w:t xml:space="preserve">Radmila </w:t>
      </w:r>
      <w:proofErr w:type="gramStart"/>
      <w:r>
        <w:rPr>
          <w:sz w:val="28"/>
          <w:szCs w:val="28"/>
        </w:rPr>
        <w:t>Cibulková  domovnice</w:t>
      </w:r>
      <w:proofErr w:type="gramEnd"/>
      <w:r>
        <w:rPr>
          <w:sz w:val="28"/>
          <w:szCs w:val="28"/>
        </w:rPr>
        <w:t xml:space="preserve">, vyhláška 50, drobné opravy, 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VZDĚLÁVACÍ PROGRAM ŠKOLY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029"/>
        <w:gridCol w:w="3017"/>
        <w:gridCol w:w="3016"/>
      </w:tblGrid>
      <w:tr w:rsidR="00C4203F" w:rsidTr="00C4203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Název zvoleného vzdělávacího programu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Číslo jednací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 ročníku</w:t>
            </w:r>
          </w:p>
        </w:tc>
      </w:tr>
      <w:tr w:rsidR="00C4203F" w:rsidTr="00C4203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ŠVP Veselá škola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52/2007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až 4. ročníku</w:t>
            </w:r>
          </w:p>
        </w:tc>
      </w:tr>
      <w:tr w:rsidR="00C4203F" w:rsidTr="00C4203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MŠ – Barevná školička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46/2006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– 7 let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PŘIJETÍ DĚTÍ DO ZŠ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4203F" w:rsidTr="00C4203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CHLAPCI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DÍVKY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CELKEM</w:t>
            </w:r>
          </w:p>
        </w:tc>
      </w:tr>
      <w:tr w:rsidR="00C4203F" w:rsidTr="00C4203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Zápis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C4203F" w:rsidTr="00C4203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Přijetí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ROZHODNUTÍ ŘEDITELE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028"/>
        <w:gridCol w:w="3013"/>
        <w:gridCol w:w="3021"/>
      </w:tblGrid>
      <w:tr w:rsidR="00C4203F" w:rsidTr="00C4203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Rozhodnutí ředitele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odvolání</w:t>
            </w:r>
          </w:p>
        </w:tc>
      </w:tr>
      <w:tr w:rsidR="00C4203F" w:rsidTr="00C4203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 odkladu povinné školní docházky podle § 37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 dodatečném odložení povinné školní docházky §37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0</w:t>
            </w:r>
          </w:p>
        </w:tc>
      </w:tr>
      <w:tr w:rsidR="00C4203F" w:rsidTr="00C4203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Další dle §165,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odst.2 </w:t>
            </w:r>
            <w:proofErr w:type="spellStart"/>
            <w:r>
              <w:rPr>
                <w:sz w:val="24"/>
                <w:szCs w:val="24"/>
                <w:lang w:eastAsia="en-US"/>
              </w:rPr>
              <w:t>a,e,h,i,l</w:t>
            </w:r>
            <w:proofErr w:type="spellEnd"/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PROSPĚCH ŽÁKŮ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203F" w:rsidTr="00C4203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Prospělos vyznamenáním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Prospělo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Neprospělo</w:t>
            </w:r>
          </w:p>
        </w:tc>
      </w:tr>
      <w:tr w:rsidR="00C4203F" w:rsidTr="00C4203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Počet žáků, kteří budou klasifikováni v náhradním termínu: 0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Snížený stupeň z chování: 1. pololetí 1, 2. pololetí 0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Celkový počet neoml</w:t>
      </w:r>
      <w:r w:rsidR="00333BB1">
        <w:rPr>
          <w:sz w:val="24"/>
          <w:szCs w:val="24"/>
        </w:rPr>
        <w:t>uvených hodin za školní rok 2019/2020</w:t>
      </w:r>
      <w:r>
        <w:rPr>
          <w:sz w:val="24"/>
          <w:szCs w:val="24"/>
        </w:rPr>
        <w:t>: 0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Vzdělávání mimořádně nadaných žáků: 0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Údaje o přijímacím řízení na střední školu: 0 – malotřídní škola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Počet absolventů ZŠ: 0 – žáci odchází do 5. ročníku na ZŠ v Brně, Tišnově, ve Veverské Bítýšce, Kuřimi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Pr="008D4593" w:rsidRDefault="00C4203F" w:rsidP="00C4203F">
      <w:pPr>
        <w:rPr>
          <w:b/>
          <w:sz w:val="28"/>
          <w:szCs w:val="28"/>
        </w:rPr>
      </w:pPr>
      <w:r w:rsidRPr="008D4593">
        <w:rPr>
          <w:b/>
          <w:sz w:val="28"/>
          <w:szCs w:val="28"/>
        </w:rPr>
        <w:t>ZAMEŠKANÉ HODINY</w:t>
      </w:r>
      <w:r w:rsidR="008D4593" w:rsidRPr="008D4593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335"/>
        <w:gridCol w:w="2841"/>
        <w:gridCol w:w="2886"/>
      </w:tblGrid>
      <w:tr w:rsidR="00C4203F" w:rsidTr="00C4203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Celkem hodin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pololetí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pololetí</w:t>
            </w:r>
          </w:p>
        </w:tc>
      </w:tr>
      <w:tr w:rsidR="00C4203F" w:rsidTr="00C4203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D45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D45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807</w:t>
            </w:r>
          </w:p>
        </w:tc>
      </w:tr>
      <w:tr w:rsidR="00C4203F" w:rsidTr="00C4203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Průměr na žáka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D45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38,35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D45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19,21</w:t>
            </w:r>
          </w:p>
        </w:tc>
      </w:tr>
      <w:tr w:rsidR="00C4203F" w:rsidTr="00C4203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Omluvené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D45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D45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807</w:t>
            </w:r>
          </w:p>
        </w:tc>
      </w:tr>
      <w:tr w:rsidR="00C4203F" w:rsidTr="00C4203F">
        <w:trPr>
          <w:trHeight w:val="7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Neomluvené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INTEGROVANÍ ŽÁCI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203F" w:rsidTr="00C4203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 s IVP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Druh postižení</w:t>
            </w:r>
          </w:p>
        </w:tc>
      </w:tr>
      <w:tr w:rsidR="00C4203F" w:rsidTr="00C4203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</w:tr>
      <w:tr w:rsidR="00C4203F" w:rsidTr="00C4203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SPU</w:t>
            </w:r>
            <w:r w:rsidR="00333BB1">
              <w:rPr>
                <w:sz w:val="24"/>
                <w:szCs w:val="24"/>
                <w:lang w:eastAsia="en-US"/>
              </w:rPr>
              <w:t>, ADHD</w:t>
            </w:r>
          </w:p>
        </w:tc>
      </w:tr>
      <w:tr w:rsidR="00C4203F" w:rsidTr="00C4203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Dyskalkulie, SPU</w:t>
            </w:r>
          </w:p>
        </w:tc>
      </w:tr>
      <w:tr w:rsidR="00C4203F" w:rsidTr="00C4203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SPU</w:t>
            </w:r>
            <w:r w:rsidR="00333BB1">
              <w:rPr>
                <w:sz w:val="24"/>
                <w:szCs w:val="24"/>
                <w:lang w:eastAsia="en-US"/>
              </w:rPr>
              <w:t>, Aspergerův syndrom</w:t>
            </w:r>
          </w:p>
        </w:tc>
      </w:tr>
      <w:tr w:rsidR="00C4203F" w:rsidTr="00C4203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33B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PREVENCE SOCIÁLNĚ PATOLOGICKÝCH JEVŮ</w:t>
      </w:r>
    </w:p>
    <w:p w:rsidR="00C4203F" w:rsidRDefault="00C4203F" w:rsidP="00C4203F">
      <w:pPr>
        <w:rPr>
          <w:rFonts w:ascii="Arial" w:hAnsi="Arial" w:cs="Arial"/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MINIMÁLNÍ PREVENTIVNÍ PROGRAM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Prevence sociálně nežádoucích jevů: šikana a agrese, patologické hráčství 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Protidrogová prevence 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Výchova ke zdravému životnímu stylu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Činnosti, které jsou obsahem jednotlivých bodů, jsou integrovány průběžně do učiva prvouky, přírodovědy, českého jazyka apod. Samozřejmostí je bezprostřední reakce na právě vzniklý problém. 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Dále pak s institucemi, zabývajícími se přímo preventivními programy a pracujícími přímo se zakázkou a potřebami dané třídy. Dlouhodobým cílem v rámci preventivních aktivit se snažíme vytvářet příznivé psychosociální klima ve škole, podporujeme zdravý životní styl, rozvoj sociálních a komunikačních dovedností žáků. Střednědobé cíle vycházejí z cíle dlouhodobého posílení správných postojů v oblasti RPCH, a postojů spojených se zajišťováním osobního bezpečí.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Dětem po vstupu do školy nabízíme nejen konkrétní dovednosti, ale také vytváříme modelové situace, se kterými se mohou setkat ve škole i mimo školu. Společně se zaměřujeme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>: společné stanovení a zažití pravidel soužití mezi žáky a učiteli zvyšování zdravého sebevědomí žáků, zkoumání a uvědomování si vlastní osobnosti, vnímání individuálních odlišností dětí mezi sebou a přijímání těchto jevů.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Děti se jedenkrát týdně popřípadě dle potřeby setkávají v kruhu, kde mají prostor pro vyjádření zážitků, názorů a hodnocení. Učí se tak jednat spolu navzájem i s dospělými, kteří se kruhu také účastní. Třídní kolektiv je menší, prostředí školy je rodinné. Projevy nevhodného chování se řeší ihned v kruhu. Pro správné chování a vzájemný respekt mezi sebou si děti stanovily svoje pravidla chování, která společně dodržují, vzájemně se upozorní na jejich nedodržení. Učí se navzájem omluvit za chybu. Dobrým vztahům napomáhá i integrace dětí s poruchami učení a přítomnost MŠ v budově školy, společné akce pořádané pro všechny děti i akce pořádané pro rodiče a děti současně. 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Preventivní programy: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33BB1">
        <w:rPr>
          <w:sz w:val="24"/>
          <w:szCs w:val="24"/>
        </w:rPr>
        <w:t xml:space="preserve">                        Jdeme společně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C4203F" w:rsidRDefault="00C4203F" w:rsidP="00C4203F">
      <w:pPr>
        <w:rPr>
          <w:sz w:val="24"/>
          <w:szCs w:val="24"/>
        </w:rPr>
      </w:pPr>
      <w:r>
        <w:rPr>
          <w:b/>
          <w:sz w:val="28"/>
          <w:szCs w:val="28"/>
        </w:rPr>
        <w:t>ASOCIÁLNÍ JEVY, ŠIKANA</w:t>
      </w: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Žáci všech tříd byli na začátku každého školního roku informováni o projevech šikany, o jejich řešení školou a o potřebě tyto projevy co nejdříve oznámit.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333BB1" w:rsidRDefault="00333BB1" w:rsidP="00C4203F">
      <w:pPr>
        <w:rPr>
          <w:b/>
          <w:sz w:val="28"/>
          <w:szCs w:val="28"/>
        </w:rPr>
      </w:pPr>
    </w:p>
    <w:p w:rsidR="004403F8" w:rsidRDefault="004403F8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VÝSKYT SOCIÁLNĚ PATOLOGICKÝCH JEVŮ VE ŠKOLE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988"/>
        <w:gridCol w:w="1067"/>
        <w:gridCol w:w="1064"/>
        <w:gridCol w:w="1126"/>
        <w:gridCol w:w="1817"/>
      </w:tblGrid>
      <w:tr w:rsidR="00C4203F" w:rsidTr="00C4203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Věk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Celkem případů</w:t>
            </w:r>
          </w:p>
        </w:tc>
      </w:tr>
      <w:tr w:rsidR="00C4203F" w:rsidTr="00C4203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Návykové látky: alkohol, kouření, heroin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Záškoláctví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Šikana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Gambling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Kriminalita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Rasismus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4203F" w:rsidTr="00C4203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Jiné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VÝCHOVNÉ PORADENSTVÍ</w:t>
      </w: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b/>
          <w:sz w:val="24"/>
          <w:szCs w:val="24"/>
        </w:rPr>
      </w:pPr>
      <w:r>
        <w:rPr>
          <w:sz w:val="24"/>
          <w:szCs w:val="24"/>
        </w:rPr>
        <w:t>Úlohu výchovného poradce zastává ředitelka školy. Spolupráce vyplývající z úlohy výchovného poradce spočívala v kooperaci se žáky, jejich rodiči, dále pak se školním psychologem z PPP Hybešova 15 Brno, s Pedagogicko-psychologickou poradnou v Brně, SPC v Brně, s kurátorkami z Odboru sociální péče města Kuřimi.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ZÁJMOVÉ ÚTVARY 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8"/>
          <w:szCs w:val="28"/>
        </w:rPr>
      </w:pPr>
      <w:r>
        <w:rPr>
          <w:sz w:val="28"/>
          <w:szCs w:val="28"/>
        </w:rPr>
        <w:t xml:space="preserve">Zajišťuje obec Chudčice – fotbal,  </w:t>
      </w:r>
    </w:p>
    <w:p w:rsidR="00C4203F" w:rsidRDefault="00C4203F" w:rsidP="00C4203F">
      <w:pPr>
        <w:rPr>
          <w:sz w:val="28"/>
          <w:szCs w:val="28"/>
        </w:rPr>
      </w:pPr>
      <w:r>
        <w:rPr>
          <w:sz w:val="28"/>
          <w:szCs w:val="28"/>
        </w:rPr>
        <w:t>ZUŠ Veverská Bítýška – taneční kroužek, Pan Babák – hra na hudební nástroje</w:t>
      </w:r>
    </w:p>
    <w:p w:rsidR="00C4203F" w:rsidRDefault="00C4203F" w:rsidP="00C4203F">
      <w:pPr>
        <w:rPr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MATEŘSKÁ ŠKOLA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102"/>
        <w:gridCol w:w="2980"/>
        <w:gridCol w:w="2980"/>
      </w:tblGrid>
      <w:tr w:rsidR="00C4203F" w:rsidTr="00C4203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340A4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Školní rok 2019/2020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tříd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dětí</w:t>
            </w:r>
          </w:p>
        </w:tc>
      </w:tr>
      <w:tr w:rsidR="00C4203F" w:rsidTr="00C4203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893B88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VĚKOVÉ SLOŽENÍ DĚTÍ MŠ</w:t>
      </w:r>
    </w:p>
    <w:p w:rsidR="00893B88" w:rsidRDefault="00893B88" w:rsidP="00C4203F">
      <w:pPr>
        <w:rPr>
          <w:b/>
          <w:sz w:val="28"/>
          <w:szCs w:val="28"/>
        </w:rPr>
      </w:pPr>
    </w:p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430"/>
        <w:gridCol w:w="567"/>
        <w:gridCol w:w="567"/>
        <w:gridCol w:w="710"/>
        <w:gridCol w:w="567"/>
        <w:gridCol w:w="708"/>
        <w:gridCol w:w="567"/>
        <w:gridCol w:w="851"/>
        <w:gridCol w:w="708"/>
        <w:gridCol w:w="3137"/>
      </w:tblGrid>
      <w:tr w:rsidR="00893B88" w:rsidRPr="00893B88" w:rsidTr="00893B88">
        <w:trPr>
          <w:tblCellSpacing w:w="0" w:type="dxa"/>
        </w:trPr>
        <w:tc>
          <w:tcPr>
            <w:tcW w:w="100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sz w:val="24"/>
                <w:szCs w:val="24"/>
              </w:rPr>
              <w:t> </w:t>
            </w:r>
          </w:p>
        </w:tc>
        <w:tc>
          <w:tcPr>
            <w:tcW w:w="2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 xml:space="preserve">Číslo </w:t>
            </w:r>
            <w:r w:rsidRPr="00893B88">
              <w:rPr>
                <w:rFonts w:ascii="Arial" w:hAnsi="Arial" w:cs="Arial"/>
                <w:sz w:val="15"/>
                <w:szCs w:val="15"/>
              </w:rPr>
              <w:br/>
              <w:t>řádku</w:t>
            </w:r>
          </w:p>
        </w:tc>
        <w:tc>
          <w:tcPr>
            <w:tcW w:w="8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Běžné třídy</w:t>
            </w:r>
          </w:p>
        </w:tc>
        <w:tc>
          <w:tcPr>
            <w:tcW w:w="284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Speciální třídy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100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 xml:space="preserve">Počet </w:t>
            </w:r>
            <w:r w:rsidRPr="00893B88">
              <w:rPr>
                <w:rFonts w:ascii="Arial" w:hAnsi="Arial" w:cs="Arial"/>
                <w:sz w:val="15"/>
                <w:szCs w:val="15"/>
              </w:rPr>
              <w:br/>
              <w:t>tříd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Počet dětí</w:t>
            </w:r>
          </w:p>
        </w:tc>
        <w:tc>
          <w:tcPr>
            <w:tcW w:w="6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 xml:space="preserve">Počet </w:t>
            </w:r>
            <w:r w:rsidRPr="00893B88">
              <w:rPr>
                <w:rFonts w:ascii="Arial" w:hAnsi="Arial" w:cs="Arial"/>
                <w:sz w:val="15"/>
                <w:szCs w:val="15"/>
              </w:rPr>
              <w:br/>
              <w:t>tříd</w:t>
            </w:r>
          </w:p>
        </w:tc>
        <w:tc>
          <w:tcPr>
            <w:tcW w:w="22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Počet dětí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100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celkem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z toho</w:t>
            </w:r>
            <w:r w:rsidRPr="00893B88">
              <w:rPr>
                <w:rFonts w:ascii="Arial" w:hAnsi="Arial" w:cs="Arial"/>
                <w:sz w:val="15"/>
                <w:szCs w:val="15"/>
              </w:rPr>
              <w:br/>
              <w:t>dívky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 xml:space="preserve">ze sl. 3. s polodenním </w:t>
            </w:r>
            <w:proofErr w:type="spellStart"/>
            <w:r w:rsidRPr="00893B88">
              <w:rPr>
                <w:rFonts w:ascii="Arial" w:hAnsi="Arial" w:cs="Arial"/>
                <w:sz w:val="15"/>
                <w:szCs w:val="15"/>
              </w:rPr>
              <w:t>vzděl</w:t>
            </w:r>
            <w:proofErr w:type="spellEnd"/>
            <w:r w:rsidRPr="00893B88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celkem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z toho</w:t>
            </w:r>
            <w:r w:rsidRPr="00893B88">
              <w:rPr>
                <w:rFonts w:ascii="Arial" w:hAnsi="Arial" w:cs="Arial"/>
                <w:sz w:val="15"/>
                <w:szCs w:val="15"/>
              </w:rPr>
              <w:br/>
              <w:t>dívky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 xml:space="preserve">ze sl. 7 s polodenním </w:t>
            </w:r>
            <w:proofErr w:type="spellStart"/>
            <w:r w:rsidRPr="00893B88">
              <w:rPr>
                <w:rFonts w:ascii="Arial" w:hAnsi="Arial" w:cs="Arial"/>
                <w:sz w:val="15"/>
                <w:szCs w:val="15"/>
              </w:rPr>
              <w:t>vzděl</w:t>
            </w:r>
            <w:proofErr w:type="spellEnd"/>
            <w:r w:rsidRPr="00893B88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a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b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3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5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ind w:right="-15"/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8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i/>
                <w:iCs/>
                <w:sz w:val="15"/>
                <w:szCs w:val="15"/>
              </w:rPr>
              <w:t>9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3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 xml:space="preserve">Třídy </w:t>
            </w:r>
            <w:r w:rsidRPr="00893B88">
              <w:rPr>
                <w:rFonts w:ascii="Arial" w:hAnsi="Arial" w:cs="Arial"/>
                <w:sz w:val="15"/>
                <w:szCs w:val="15"/>
              </w:rPr>
              <w:br/>
              <w:t>s provozem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internátním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0301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3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celodenním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0302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25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13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3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polodenním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0303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3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celkem (ř. 0301 až 0303)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0304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25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13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3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 xml:space="preserve">   z toho </w:t>
            </w:r>
            <w:proofErr w:type="spellStart"/>
            <w:r w:rsidRPr="00893B88">
              <w:rPr>
                <w:rFonts w:ascii="Arial" w:hAnsi="Arial" w:cs="Arial"/>
                <w:sz w:val="15"/>
                <w:szCs w:val="15"/>
              </w:rPr>
              <w:t>zříz</w:t>
            </w:r>
            <w:proofErr w:type="spellEnd"/>
            <w:r w:rsidRPr="00893B88">
              <w:rPr>
                <w:rFonts w:ascii="Arial" w:hAnsi="Arial" w:cs="Arial"/>
                <w:sz w:val="15"/>
                <w:szCs w:val="15"/>
              </w:rPr>
              <w:t xml:space="preserve">. pro děti se </w:t>
            </w:r>
            <w:proofErr w:type="spellStart"/>
            <w:r w:rsidRPr="00893B88">
              <w:rPr>
                <w:rFonts w:ascii="Arial" w:hAnsi="Arial" w:cs="Arial"/>
                <w:sz w:val="15"/>
                <w:szCs w:val="15"/>
              </w:rPr>
              <w:t>závaž</w:t>
            </w:r>
            <w:proofErr w:type="spellEnd"/>
            <w:r w:rsidRPr="00893B88">
              <w:rPr>
                <w:rFonts w:ascii="Arial" w:hAnsi="Arial" w:cs="Arial"/>
                <w:sz w:val="15"/>
                <w:szCs w:val="15"/>
              </w:rPr>
              <w:t>. vadami řeči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0304b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   z ř. 0304 s polským vyučovacím jazykem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0307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Navíc děti podle § 34 odst. 10 ŠZ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0310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</w:tr>
      <w:tr w:rsidR="00893B88" w:rsidRPr="00893B88" w:rsidTr="00893B88">
        <w:trPr>
          <w:tblCellSpacing w:w="0" w:type="dxa"/>
        </w:trPr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 xml:space="preserve">Navíc s </w:t>
            </w:r>
            <w:proofErr w:type="spellStart"/>
            <w:r w:rsidRPr="00893B88">
              <w:rPr>
                <w:rFonts w:ascii="Arial" w:hAnsi="Arial" w:cs="Arial"/>
                <w:sz w:val="15"/>
                <w:szCs w:val="15"/>
              </w:rPr>
              <w:t>indiv</w:t>
            </w:r>
            <w:proofErr w:type="spellEnd"/>
            <w:r w:rsidRPr="00893B88">
              <w:rPr>
                <w:rFonts w:ascii="Arial" w:hAnsi="Arial" w:cs="Arial"/>
                <w:sz w:val="15"/>
                <w:szCs w:val="15"/>
              </w:rPr>
              <w:t xml:space="preserve">. </w:t>
            </w:r>
            <w:proofErr w:type="spellStart"/>
            <w:r w:rsidRPr="00893B88">
              <w:rPr>
                <w:rFonts w:ascii="Arial" w:hAnsi="Arial" w:cs="Arial"/>
                <w:sz w:val="15"/>
                <w:szCs w:val="15"/>
              </w:rPr>
              <w:t>vzděl</w:t>
            </w:r>
            <w:proofErr w:type="spellEnd"/>
            <w:r w:rsidRPr="00893B88">
              <w:rPr>
                <w:rFonts w:ascii="Arial" w:hAnsi="Arial" w:cs="Arial"/>
                <w:sz w:val="15"/>
                <w:szCs w:val="15"/>
              </w:rPr>
              <w:t xml:space="preserve">. podle </w:t>
            </w:r>
            <w:proofErr w:type="spellStart"/>
            <w:r w:rsidRPr="00893B88">
              <w:rPr>
                <w:rFonts w:ascii="Arial" w:hAnsi="Arial" w:cs="Arial"/>
                <w:sz w:val="15"/>
                <w:szCs w:val="15"/>
              </w:rPr>
              <w:t>podle</w:t>
            </w:r>
            <w:proofErr w:type="spellEnd"/>
            <w:r w:rsidRPr="00893B88">
              <w:rPr>
                <w:rFonts w:ascii="Arial" w:hAnsi="Arial" w:cs="Arial"/>
                <w:sz w:val="15"/>
                <w:szCs w:val="15"/>
              </w:rPr>
              <w:t xml:space="preserve"> § 34b ŠZ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0311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B88" w:rsidRPr="00893B88" w:rsidRDefault="00893B88" w:rsidP="00893B88">
            <w:pPr>
              <w:jc w:val="center"/>
              <w:rPr>
                <w:sz w:val="24"/>
                <w:szCs w:val="24"/>
              </w:rPr>
            </w:pPr>
            <w:r w:rsidRPr="00893B88">
              <w:rPr>
                <w:rFonts w:ascii="Arial" w:hAnsi="Arial" w:cs="Arial"/>
                <w:sz w:val="15"/>
                <w:szCs w:val="15"/>
              </w:rPr>
              <w:t>X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ODKLAD POVINNÉ ŠKOLNÍ DOCHÁZKY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6"/>
        <w:gridCol w:w="4526"/>
      </w:tblGrid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dětí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Odklad povinné školní docházky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Dodatečné odložení povinné školní docházky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Školy v přírodě: ne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Úpl</w:t>
      </w:r>
      <w:r w:rsidR="00893B88">
        <w:rPr>
          <w:sz w:val="24"/>
          <w:szCs w:val="24"/>
        </w:rPr>
        <w:t>ata za předškolní vzdělávání: 350,-Kč celý den, 175</w:t>
      </w:r>
      <w:r>
        <w:rPr>
          <w:sz w:val="24"/>
          <w:szCs w:val="24"/>
        </w:rPr>
        <w:t>,- Kč polodenní.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VÝKON STÁTNÍ SPRÁVY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9"/>
        <w:gridCol w:w="4523"/>
      </w:tblGrid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Rozhodnutí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Přijetí dětí do MŠ 2019/2020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Ukončení docházky dítěte 561/2004Sb.,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nepřijatých dětí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Ukončení docházky do MŠ (nemoc, stěhování)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 PRACOVNÍKŮ MŠ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41"/>
        <w:gridCol w:w="4521"/>
      </w:tblGrid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Fyzické osoby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Přepočtení na plně zaměstnané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C4203F" w:rsidRDefault="00C4203F" w:rsidP="00C4203F">
      <w:pPr>
        <w:rPr>
          <w:sz w:val="28"/>
          <w:szCs w:val="28"/>
        </w:rPr>
      </w:pPr>
    </w:p>
    <w:p w:rsidR="00C4203F" w:rsidRDefault="00C4203F" w:rsidP="00C4203F">
      <w:pPr>
        <w:rPr>
          <w:sz w:val="28"/>
          <w:szCs w:val="28"/>
        </w:rPr>
      </w:pPr>
      <w:r>
        <w:rPr>
          <w:sz w:val="28"/>
          <w:szCs w:val="28"/>
        </w:rPr>
        <w:t xml:space="preserve">Zdena </w:t>
      </w:r>
      <w:proofErr w:type="spellStart"/>
      <w:r>
        <w:rPr>
          <w:sz w:val="28"/>
          <w:szCs w:val="28"/>
        </w:rPr>
        <w:t>Römerová</w:t>
      </w:r>
      <w:proofErr w:type="spellEnd"/>
      <w:r>
        <w:rPr>
          <w:sz w:val="28"/>
          <w:szCs w:val="28"/>
        </w:rPr>
        <w:t>, Kristýna Soukupová obě kvalifikované</w:t>
      </w:r>
    </w:p>
    <w:p w:rsidR="00C4203F" w:rsidRDefault="00C4203F" w:rsidP="00C4203F">
      <w:pPr>
        <w:rPr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4"/>
          <w:szCs w:val="24"/>
        </w:rPr>
        <w:t>RADA ŠKOLY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zřízena dle § 17a, odst. 1 ZÁKONA č. 564/1990 Sb., v platném znění:</w:t>
      </w:r>
      <w:r>
        <w:rPr>
          <w:sz w:val="24"/>
          <w:szCs w:val="24"/>
        </w:rPr>
        <w:t xml:space="preserve"> ANO</w:t>
      </w:r>
    </w:p>
    <w:p w:rsidR="00C4203F" w:rsidRDefault="00C4203F" w:rsidP="00C420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Za školu:                      </w:t>
      </w:r>
      <w:r w:rsidR="00893B88">
        <w:rPr>
          <w:sz w:val="28"/>
          <w:szCs w:val="28"/>
        </w:rPr>
        <w:t>Mgr. Markéta Svobodová</w:t>
      </w:r>
    </w:p>
    <w:p w:rsidR="00C4203F" w:rsidRDefault="00C4203F" w:rsidP="00C420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Za zákonné zástupce: </w:t>
      </w:r>
      <w:r w:rsidR="00893B88">
        <w:rPr>
          <w:sz w:val="28"/>
          <w:szCs w:val="28"/>
        </w:rPr>
        <w:t>Xenie Bémová</w:t>
      </w:r>
    </w:p>
    <w:p w:rsidR="00C4203F" w:rsidRDefault="00C4203F" w:rsidP="00C420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Za obec:                        </w:t>
      </w:r>
      <w:r>
        <w:rPr>
          <w:sz w:val="28"/>
          <w:szCs w:val="28"/>
        </w:rPr>
        <w:t>Ing. Pavel Konečný</w:t>
      </w:r>
    </w:p>
    <w:p w:rsidR="00C4203F" w:rsidRDefault="00C4203F" w:rsidP="00C4203F">
      <w:pPr>
        <w:rPr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ŠKOLNÍ DRUŽINA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2263"/>
        <w:gridCol w:w="2266"/>
        <w:gridCol w:w="2257"/>
        <w:gridCol w:w="2276"/>
      </w:tblGrid>
      <w:tr w:rsidR="00C4203F" w:rsidTr="00C4203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ŠD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oddělení ŠD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 dětí v ŠD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E733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Počet vychovatelů </w:t>
            </w:r>
            <w:r w:rsidR="00C4203F">
              <w:rPr>
                <w:sz w:val="24"/>
                <w:szCs w:val="24"/>
                <w:lang w:eastAsia="en-US"/>
              </w:rPr>
              <w:t>ŠD</w:t>
            </w:r>
          </w:p>
        </w:tc>
      </w:tr>
      <w:tr w:rsidR="00C4203F" w:rsidTr="00C4203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 PRACOVNÍKŮ ŠD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8"/>
        <w:gridCol w:w="4524"/>
      </w:tblGrid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Fyzické osoby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Přepočtení na plně zaměstnané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0,68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893B88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Vojtěch Brunclík, Dis.   </w:t>
      </w:r>
      <w:proofErr w:type="gramStart"/>
      <w:r>
        <w:rPr>
          <w:sz w:val="24"/>
          <w:szCs w:val="24"/>
        </w:rPr>
        <w:t>kvalifikovaný</w:t>
      </w:r>
      <w:proofErr w:type="gramEnd"/>
    </w:p>
    <w:p w:rsidR="004403F8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Školní klub: NE</w:t>
      </w:r>
    </w:p>
    <w:p w:rsidR="00C4203F" w:rsidRPr="004403F8" w:rsidRDefault="00C4203F" w:rsidP="00C4203F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ŠKOLNÍ JÍDELNA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2266"/>
        <w:gridCol w:w="2262"/>
        <w:gridCol w:w="2259"/>
        <w:gridCol w:w="2275"/>
      </w:tblGrid>
      <w:tr w:rsidR="00C4203F" w:rsidTr="00C4203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Typ jídelny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Žáci a děti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Pracovníci školy</w:t>
            </w:r>
          </w:p>
        </w:tc>
      </w:tr>
      <w:tr w:rsidR="00C4203F" w:rsidTr="00C4203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ŠJ - úplná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 PRACOV</w:t>
      </w:r>
      <w:r w:rsidR="00893B88">
        <w:rPr>
          <w:b/>
          <w:sz w:val="28"/>
          <w:szCs w:val="28"/>
        </w:rPr>
        <w:t>NÍKŮ ŠKOLNÍ JÍDELNY K </w:t>
      </w:r>
      <w:proofErr w:type="gramStart"/>
      <w:r w:rsidR="00893B88">
        <w:rPr>
          <w:b/>
          <w:sz w:val="28"/>
          <w:szCs w:val="28"/>
        </w:rPr>
        <w:t>15.10.2019</w:t>
      </w:r>
      <w:proofErr w:type="gramEnd"/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9"/>
        <w:gridCol w:w="4523"/>
      </w:tblGrid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Fyzické osoby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Přepočtení na plně zaměstnané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</w:tbl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ÚDAJE O PRACOVNÍCÍCH ŠKOLY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45"/>
        <w:gridCol w:w="4517"/>
      </w:tblGrid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Celkový počet pedagogických pracovníků MŠ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 toho odborně a </w:t>
            </w:r>
            <w:proofErr w:type="spellStart"/>
            <w:r>
              <w:rPr>
                <w:sz w:val="24"/>
                <w:szCs w:val="24"/>
                <w:lang w:eastAsia="en-US"/>
              </w:rPr>
              <w:t>ped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způsobilých</w:t>
            </w:r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Celkový počet pedagogických pracovníků ZŠ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 toho odborně způsobilých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Celkový počet pedagogických pracovníků ŠD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C420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 toho odborně způsobilých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C4203F" w:rsidRDefault="00C4203F" w:rsidP="00C4203F">
      <w:pPr>
        <w:rPr>
          <w:sz w:val="22"/>
          <w:szCs w:val="22"/>
        </w:rPr>
      </w:pPr>
    </w:p>
    <w:p w:rsidR="00C4203F" w:rsidRDefault="00C4203F" w:rsidP="00C4203F">
      <w:pPr>
        <w:rPr>
          <w:sz w:val="22"/>
          <w:szCs w:val="22"/>
        </w:rPr>
      </w:pPr>
      <w:r>
        <w:rPr>
          <w:sz w:val="22"/>
          <w:szCs w:val="22"/>
        </w:rPr>
        <w:t>Počet absolventů s odbornou kvalifi</w:t>
      </w:r>
      <w:r w:rsidR="00893B88">
        <w:rPr>
          <w:sz w:val="22"/>
          <w:szCs w:val="22"/>
        </w:rPr>
        <w:t>kací, kteří ve školním roce 2019/2020</w:t>
      </w:r>
      <w:r>
        <w:rPr>
          <w:sz w:val="22"/>
          <w:szCs w:val="22"/>
        </w:rPr>
        <w:t xml:space="preserve"> nastoupili na školu: 0</w:t>
      </w:r>
    </w:p>
    <w:p w:rsidR="00C4203F" w:rsidRDefault="00C4203F" w:rsidP="00C4203F">
      <w:pPr>
        <w:rPr>
          <w:sz w:val="22"/>
          <w:szCs w:val="22"/>
        </w:rPr>
      </w:pPr>
      <w:r>
        <w:rPr>
          <w:sz w:val="22"/>
          <w:szCs w:val="22"/>
        </w:rPr>
        <w:t>Počet učitelů bez odborné kvalifi</w:t>
      </w:r>
      <w:r w:rsidR="00893B88">
        <w:rPr>
          <w:sz w:val="22"/>
          <w:szCs w:val="22"/>
        </w:rPr>
        <w:t>kace, kteří ve školním roce 2019/2020 nastoupili na školu:  1</w:t>
      </w:r>
    </w:p>
    <w:p w:rsidR="00C4203F" w:rsidRDefault="00C4203F" w:rsidP="00C4203F">
      <w:pPr>
        <w:rPr>
          <w:sz w:val="22"/>
          <w:szCs w:val="22"/>
        </w:rPr>
      </w:pPr>
      <w:r>
        <w:rPr>
          <w:sz w:val="22"/>
          <w:szCs w:val="22"/>
        </w:rPr>
        <w:t>Počet učitelů s odbornou kvalifi</w:t>
      </w:r>
      <w:r w:rsidR="00893B88">
        <w:rPr>
          <w:sz w:val="22"/>
          <w:szCs w:val="22"/>
        </w:rPr>
        <w:t>kací, kteří ve školním roce 2019/2020 odešli ze školy:  1</w:t>
      </w:r>
      <w:r>
        <w:rPr>
          <w:sz w:val="22"/>
          <w:szCs w:val="22"/>
        </w:rPr>
        <w:t xml:space="preserve"> </w:t>
      </w:r>
    </w:p>
    <w:p w:rsidR="00C4203F" w:rsidRDefault="00C4203F" w:rsidP="00C4203F">
      <w:pPr>
        <w:rPr>
          <w:sz w:val="22"/>
          <w:szCs w:val="22"/>
        </w:rPr>
      </w:pPr>
      <w:r>
        <w:rPr>
          <w:sz w:val="22"/>
          <w:szCs w:val="22"/>
        </w:rPr>
        <w:t xml:space="preserve">Nepedagogičtí pracovníci: 4 </w:t>
      </w: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VĚKOVÉ SLOŽENÍ PEDAGOGŮ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465"/>
        <w:gridCol w:w="1418"/>
        <w:gridCol w:w="1417"/>
        <w:gridCol w:w="1418"/>
        <w:gridCol w:w="1344"/>
      </w:tblGrid>
      <w:tr w:rsidR="00C4203F" w:rsidTr="00C420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Věk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MŠ - muži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MŠ - ženy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ZŠ - muži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ZŠ -ženy</w:t>
            </w:r>
          </w:p>
        </w:tc>
      </w:tr>
      <w:tr w:rsidR="00C4203F" w:rsidTr="00C420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 35 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</w:t>
            </w:r>
          </w:p>
        </w:tc>
      </w:tr>
      <w:tr w:rsidR="00C4203F" w:rsidTr="00C420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 – 50 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C4203F" w:rsidTr="00C420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Nad 50 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2</w:t>
            </w:r>
          </w:p>
        </w:tc>
      </w:tr>
      <w:tr w:rsidR="00C4203F" w:rsidTr="00C420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Pracující důchodci </w:t>
            </w:r>
          </w:p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nepobírající důchod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</w:tr>
      <w:tr w:rsidR="00C4203F" w:rsidTr="00C420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Pracující důchodci pobírající důchod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</w:tr>
      <w:tr w:rsidR="00C4203F" w:rsidTr="00C420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893B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4203F" w:rsidTr="00C420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Rodičovská dovolená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ÚDAJE O DALŠÍM VZDĚLÁVÁNÍ PEDAGOGICKÝCH PRACOVNÍKŮ</w:t>
      </w:r>
    </w:p>
    <w:p w:rsidR="00C4203F" w:rsidRDefault="00C4203F" w:rsidP="00C4203F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45"/>
        <w:gridCol w:w="4517"/>
      </w:tblGrid>
      <w:tr w:rsidR="00C4203F" w:rsidTr="00C4203F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GDPR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Výchovné poradenství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Strategické řízení a plánování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Databáze pro rok 2019/2020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GDPR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Právní poradna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Práce s dětmi méně než tříletými v MŠ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4203F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893B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Inkluzivní vzdělávání v MŠ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C420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4203F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D06A9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Veselé počítání s hudbou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D06A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4203F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3F" w:rsidRDefault="00D06A9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Rok jde pořád dokolečka prožitkové učení v praxi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3F" w:rsidRDefault="00D06A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06A97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97" w:rsidRDefault="00D06A9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Jak pracovat s metodikou dopravní výchovy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97" w:rsidRDefault="00D06A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06A97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97" w:rsidRDefault="00D06A9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Přírodovědná gramotnost na počátku vzdělávání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97" w:rsidRDefault="00D06A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06A97" w:rsidTr="00893B88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97" w:rsidRDefault="00D06A9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Webináře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v období COVID 19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97" w:rsidRDefault="00D06A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Všichni zaměstnanci školy</w:t>
            </w:r>
          </w:p>
        </w:tc>
      </w:tr>
    </w:tbl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Romský asistent: 0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Vzhledem k nedostatečným finančním zdrojům preferuje naše škola další vzdělávání pedagogických pracovníků z nabídek zdarma nebo z nabídek nepřesahujících naše finanční možnosti. Maximální cena dalšího vzdělávání dle dohody mezi všemi pracovníky školy nesmí pro 1 účastníka přesáhnout 1 000,- korun, pouze výjimečné případy se souhlasem ředitelky školy do 2 000,- korun.  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ÚDAJE O VÝSLEDCÍCH INSPEKCE PROVEDENÉ ČESKOU ŠKOLNÍ INSPEKCÍ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D06A97" w:rsidP="00C4203F">
      <w:pPr>
        <w:rPr>
          <w:sz w:val="24"/>
          <w:szCs w:val="24"/>
        </w:rPr>
      </w:pPr>
      <w:r>
        <w:rPr>
          <w:sz w:val="24"/>
          <w:szCs w:val="24"/>
        </w:rPr>
        <w:t>Ve školním roce 2019/2020</w:t>
      </w:r>
      <w:r w:rsidR="00C4203F">
        <w:rPr>
          <w:sz w:val="24"/>
          <w:szCs w:val="24"/>
        </w:rPr>
        <w:t xml:space="preserve"> nebyla provedena řádná inspekce ze strany ČŠI. 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KONTROLA Z INSPEKTORÁTU BEZPEČNOSTI PRÁCE: </w:t>
      </w:r>
      <w:r>
        <w:rPr>
          <w:sz w:val="28"/>
          <w:szCs w:val="28"/>
        </w:rPr>
        <w:t>NE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ÚDAJE O FINANČNÍCH ZDROJÍCH 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Sponzorské dary: 500,- korun od paní Ryšavé, </w:t>
      </w:r>
    </w:p>
    <w:p w:rsidR="00C4203F" w:rsidRDefault="00C4203F" w:rsidP="00C4203F">
      <w:pPr>
        <w:rPr>
          <w:b/>
          <w:sz w:val="24"/>
          <w:szCs w:val="24"/>
        </w:rPr>
      </w:pPr>
      <w:r>
        <w:rPr>
          <w:sz w:val="24"/>
          <w:szCs w:val="24"/>
        </w:rPr>
        <w:t>Škola hospodaří s vyrovnaným rozpočtem, s kladným hospodářským výsledkem.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VYSTOUPENÍ NAŠICH ŽÁKŮ</w:t>
      </w:r>
    </w:p>
    <w:p w:rsidR="00C4203F" w:rsidRDefault="00C4203F" w:rsidP="00C4203F">
      <w:pPr>
        <w:rPr>
          <w:sz w:val="28"/>
          <w:szCs w:val="28"/>
        </w:rPr>
      </w:pPr>
    </w:p>
    <w:p w:rsidR="00C4203F" w:rsidRDefault="00C4203F" w:rsidP="00C420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VÁNOČNÍ BESÍDKA - KULTURNÍ DŮM</w:t>
      </w:r>
    </w:p>
    <w:p w:rsidR="00C4203F" w:rsidRDefault="00C4203F" w:rsidP="00C420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ZPĚV U VÁNOČNÍHO STROMU</w:t>
      </w:r>
    </w:p>
    <w:p w:rsidR="00C4203F" w:rsidRPr="00D06A97" w:rsidRDefault="00D06A97" w:rsidP="00D06A9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VÍTÁNÍ OBČÁNKŮ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SPOLUPRÁCE S DALŠÍMI SUBJEKTY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ZŠ VEVERSKÁ BÍTÝŠKA</w:t>
      </w:r>
    </w:p>
    <w:p w:rsidR="00C4203F" w:rsidRDefault="00C4203F" w:rsidP="00C420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ZŠ A MŠ LAŽÁNKY</w:t>
      </w:r>
    </w:p>
    <w:p w:rsidR="00C4203F" w:rsidRDefault="00C4203F" w:rsidP="00C420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ZŠ A MŠ VEVERSKÉ KNÍNICE</w:t>
      </w:r>
    </w:p>
    <w:p w:rsidR="00C4203F" w:rsidRDefault="00C4203F" w:rsidP="00C420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ZŠ A MŠ MORAVSKÉ KNÍNICE</w:t>
      </w:r>
    </w:p>
    <w:p w:rsidR="00C4203F" w:rsidRDefault="00C4203F" w:rsidP="00C420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ZŠ A MŠ SENTICE</w:t>
      </w:r>
    </w:p>
    <w:p w:rsidR="00C4203F" w:rsidRDefault="00C4203F" w:rsidP="00C420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PPP BRNO – VENKOV</w:t>
      </w:r>
    </w:p>
    <w:p w:rsidR="00C4203F" w:rsidRDefault="00C4203F" w:rsidP="00C420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POLICIE ČR BRNO – VENKOV</w:t>
      </w:r>
    </w:p>
    <w:p w:rsidR="00C4203F" w:rsidRDefault="00C4203F" w:rsidP="00C420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ZUŠ VEVERSKÁ BÍTÝŠKA</w:t>
      </w:r>
    </w:p>
    <w:p w:rsidR="00C4203F" w:rsidRDefault="00C4203F" w:rsidP="00C420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HUDEBNÍ ŠKOLA PANA BABÁKA</w:t>
      </w: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AKCE POŘÁDANÉ ZŠ A MŠ SPOLEČNĚ PRO ŽÁKY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DRAKIÁDA</w:t>
      </w:r>
    </w:p>
    <w:p w:rsidR="00C4203F" w:rsidRDefault="00C4203F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BESEDA SE SPISOVATELEM</w:t>
      </w:r>
    </w:p>
    <w:p w:rsidR="00D06A97" w:rsidRDefault="00D06A97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SVATÝ MARTIN</w:t>
      </w:r>
    </w:p>
    <w:p w:rsidR="00C4203F" w:rsidRDefault="00C4203F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MIKULÁŠ</w:t>
      </w:r>
    </w:p>
    <w:p w:rsidR="00D06A97" w:rsidRDefault="00D06A97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TŘI KRÁLOVÉ</w:t>
      </w:r>
    </w:p>
    <w:p w:rsidR="00D06A97" w:rsidRDefault="00D06A97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DIVADLO ČTYŘLÍSTEK V POHÁDCE</w:t>
      </w:r>
    </w:p>
    <w:p w:rsidR="00C4203F" w:rsidRDefault="00D06A97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VÁNOČNÍ DÍLNIČKY</w:t>
      </w:r>
    </w:p>
    <w:p w:rsidR="00C4203F" w:rsidRDefault="00C4203F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TECHNICKÉ ŠKOLKY A ŠKOLY </w:t>
      </w:r>
    </w:p>
    <w:p w:rsidR="00C4203F" w:rsidRDefault="00C4203F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MALOVÁNÍ NA CHODNÍKU</w:t>
      </w:r>
    </w:p>
    <w:p w:rsidR="00D06A97" w:rsidRDefault="00D06A97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KAMENOHRÁDKY</w:t>
      </w:r>
    </w:p>
    <w:p w:rsidR="00D06A97" w:rsidRDefault="00D06A97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NAROZENINOVÁ KOČKA</w:t>
      </w:r>
    </w:p>
    <w:p w:rsidR="00D06A97" w:rsidRDefault="00D06A97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KONCERT NAPŘÍČ ŽÁNRY</w:t>
      </w:r>
    </w:p>
    <w:p w:rsidR="00D06A97" w:rsidRDefault="00D06A97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POPLETENÝ KALENDÁŘ</w:t>
      </w:r>
    </w:p>
    <w:p w:rsidR="00D06A97" w:rsidRDefault="00D06A97" w:rsidP="00C420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 MALÉ MOUÍ</w:t>
      </w:r>
    </w:p>
    <w:p w:rsidR="00C4203F" w:rsidRDefault="00C4203F" w:rsidP="00C4203F">
      <w:pPr>
        <w:ind w:left="360"/>
        <w:rPr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AKCE POŘÁDANÉ POUZE PRO ZŠ</w:t>
      </w:r>
    </w:p>
    <w:p w:rsidR="00C4203F" w:rsidRDefault="00C4203F" w:rsidP="00C4203F">
      <w:pPr>
        <w:rPr>
          <w:sz w:val="28"/>
          <w:szCs w:val="28"/>
        </w:rPr>
      </w:pPr>
    </w:p>
    <w:p w:rsidR="00C4203F" w:rsidRDefault="00D06A97" w:rsidP="00C4203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HRAD VEVEŘÍ</w:t>
      </w:r>
    </w:p>
    <w:p w:rsidR="00D06A97" w:rsidRDefault="00D06A97" w:rsidP="00C4203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JAROŠŮV MLÝN</w:t>
      </w:r>
    </w:p>
    <w:p w:rsidR="00D06A97" w:rsidRDefault="00D06A97" w:rsidP="00C4203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AUTORSKÉ ČTENÍ ŠMODRCHA</w:t>
      </w:r>
    </w:p>
    <w:p w:rsidR="00D06A97" w:rsidRDefault="00D06A97" w:rsidP="00C4203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SOLNÁ JESKYNĚ KUŘIM</w:t>
      </w:r>
    </w:p>
    <w:p w:rsidR="00D06A97" w:rsidRDefault="00D06A97" w:rsidP="00C4203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FINANČNÍ GRAMOTNOST</w:t>
      </w:r>
    </w:p>
    <w:p w:rsidR="00C4203F" w:rsidRDefault="00D06A97" w:rsidP="00C4203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VÝUKOVÝ PROGRAM HISSTORIE VÁNOC</w:t>
      </w:r>
    </w:p>
    <w:p w:rsidR="00C4203F" w:rsidRDefault="00D06A97" w:rsidP="00C4203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HOROLEZECKÁ STĚNA V KUŘIMI</w:t>
      </w:r>
    </w:p>
    <w:p w:rsidR="00D06A97" w:rsidRDefault="00D06A97" w:rsidP="00C4203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BRUSLENÍ</w:t>
      </w:r>
    </w:p>
    <w:p w:rsidR="00D06A97" w:rsidRDefault="00D06A97" w:rsidP="00C4203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MASOPUST</w:t>
      </w:r>
    </w:p>
    <w:p w:rsidR="00D06A97" w:rsidRDefault="00D06A97" w:rsidP="00C4203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VIDA BRNO</w:t>
      </w:r>
    </w:p>
    <w:p w:rsidR="00D06A97" w:rsidRPr="00213B26" w:rsidRDefault="00D06A97" w:rsidP="00213B26">
      <w:pPr>
        <w:ind w:left="360"/>
        <w:rPr>
          <w:sz w:val="24"/>
          <w:szCs w:val="24"/>
        </w:rPr>
      </w:pPr>
    </w:p>
    <w:p w:rsidR="00C4203F" w:rsidRDefault="00C4203F" w:rsidP="00C4203F">
      <w:pPr>
        <w:rPr>
          <w:b/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AKCE POŘÁDANÉ ZŠ A MŠ PRO OBYVATELE OBCE CHUDČICE</w:t>
      </w:r>
    </w:p>
    <w:p w:rsidR="00C4203F" w:rsidRDefault="00C4203F" w:rsidP="00213B26">
      <w:pPr>
        <w:rPr>
          <w:sz w:val="24"/>
          <w:szCs w:val="24"/>
        </w:rPr>
      </w:pPr>
    </w:p>
    <w:p w:rsidR="00C4203F" w:rsidRDefault="00C4203F" w:rsidP="00C4203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VÁNOČNÍ BESÍDKA</w:t>
      </w:r>
    </w:p>
    <w:p w:rsidR="00C4203F" w:rsidRDefault="00C4203F" w:rsidP="00C4203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VÍTÁNÍ OBČÁNKŮ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ZÁKLADNÍ ÚDAJE O HOSPODAŘENÍ ŠKOLY </w:t>
      </w:r>
    </w:p>
    <w:p w:rsidR="00C4203F" w:rsidRDefault="00C4203F" w:rsidP="00C4203F">
      <w:pPr>
        <w:rPr>
          <w:b/>
          <w:sz w:val="28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Státní rozpočet </w:t>
      </w:r>
    </w:p>
    <w:tbl>
      <w:tblPr>
        <w:tblW w:w="5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360"/>
      </w:tblGrid>
      <w:tr w:rsidR="00C4203F" w:rsidTr="00C4203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hr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mzdy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odstup.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fksp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oniv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 odvody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  <w:lang w:eastAsia="en-US"/>
              </w:rPr>
              <w:t xml:space="preserve">   celkem</w:t>
            </w:r>
          </w:p>
        </w:tc>
        <w:tc>
          <w:tcPr>
            <w:tcW w:w="360" w:type="dxa"/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C4203F" w:rsidTr="00C4203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4403F8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4 211 731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4403F8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152 865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4403F8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1 423 565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4403F8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en-US"/>
              </w:rPr>
              <w:t>5 788 161</w:t>
            </w:r>
          </w:p>
        </w:tc>
        <w:tc>
          <w:tcPr>
            <w:tcW w:w="360" w:type="dxa"/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C4203F" w:rsidTr="00C4203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360" w:type="dxa"/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</w:tbl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4203F" w:rsidTr="00C4203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fksp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 OPP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cest.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oniv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CELKEM</w:t>
            </w:r>
          </w:p>
        </w:tc>
      </w:tr>
      <w:tr w:rsidR="00C4203F" w:rsidTr="00C4203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4403F8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84 234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C4203F">
            <w:pPr>
              <w:spacing w:line="252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4403F8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68 631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4203F" w:rsidRDefault="004403F8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en-US"/>
              </w:rPr>
              <w:t>152 865</w:t>
            </w:r>
          </w:p>
        </w:tc>
      </w:tr>
      <w:tr w:rsidR="00C4203F" w:rsidTr="00C4203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4203F" w:rsidRDefault="00C4203F">
            <w:pPr>
              <w:spacing w:line="252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eastAsia="en-US"/>
              </w:rPr>
            </w:pPr>
          </w:p>
        </w:tc>
      </w:tr>
    </w:tbl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>Obecní rozpočet 450 000,- korun PROVOZ + 450 000,- PLAT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213B26" w:rsidP="00C4203F">
      <w:pPr>
        <w:rPr>
          <w:sz w:val="24"/>
          <w:szCs w:val="24"/>
        </w:rPr>
      </w:pPr>
      <w:r>
        <w:rPr>
          <w:sz w:val="24"/>
          <w:szCs w:val="24"/>
        </w:rPr>
        <w:t>Neinvestiční náklady MŠ 38 980</w:t>
      </w:r>
      <w:r w:rsidR="00C4203F">
        <w:rPr>
          <w:sz w:val="24"/>
          <w:szCs w:val="24"/>
        </w:rPr>
        <w:t>,- korun</w:t>
      </w:r>
    </w:p>
    <w:p w:rsidR="00C4203F" w:rsidRDefault="00213B26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Neinvestiční náklady ŠD  </w:t>
      </w:r>
      <w:proofErr w:type="gramStart"/>
      <w:r>
        <w:rPr>
          <w:sz w:val="24"/>
          <w:szCs w:val="24"/>
        </w:rPr>
        <w:t>29 2</w:t>
      </w:r>
      <w:r w:rsidR="00C4203F">
        <w:rPr>
          <w:sz w:val="24"/>
          <w:szCs w:val="24"/>
        </w:rPr>
        <w:t>00 ,- korun</w:t>
      </w:r>
      <w:proofErr w:type="gramEnd"/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ÚDAJE O ZAPOJENÍ ŠKOLY DO ROZVOJOVÝCH A MEZINÁRODNÍCH PROGRAMŮ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V současné době není škola zapojena do žádného rozvojového a mezinárodního programu. Mezinárodnímu programu brání malá znalost jazykového vybavení žáků </w:t>
      </w:r>
      <w:smartTag w:uri="urn:schemas-microsoft-com:office:smarttags" w:element="metricconverter">
        <w:smartTagPr>
          <w:attr w:name="ProductID" w:val="3. a"/>
        </w:smartTagPr>
        <w:r>
          <w:rPr>
            <w:sz w:val="24"/>
            <w:szCs w:val="24"/>
          </w:rPr>
          <w:t>3. a</w:t>
        </w:r>
      </w:smartTag>
      <w:r>
        <w:rPr>
          <w:sz w:val="24"/>
          <w:szCs w:val="24"/>
        </w:rPr>
        <w:t xml:space="preserve"> 4. ročníku. Nabídky rozvojových programů nebyla pro naši školu výhodná. 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ÚDAJEO PŘEDLOŽENÝCH A ŠKOLOU REALIZOVANÝCH PROJEKTECH FINANCOVANÝCH Z CIZÍCH ZDROJŮ</w:t>
      </w:r>
    </w:p>
    <w:p w:rsidR="00C4203F" w:rsidRDefault="00C4203F" w:rsidP="00C4203F">
      <w:pPr>
        <w:rPr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sz w:val="28"/>
          <w:szCs w:val="28"/>
        </w:rPr>
        <w:t>Cz.02.3.68/0.0/0.0/16_022/0006185 Personální podpora ZŠ a MŠ Chudčice</w:t>
      </w:r>
    </w:p>
    <w:p w:rsidR="00C4203F" w:rsidRDefault="00C4203F" w:rsidP="00C4203F">
      <w:pPr>
        <w:rPr>
          <w:sz w:val="28"/>
          <w:szCs w:val="28"/>
        </w:rPr>
      </w:pPr>
      <w:r>
        <w:rPr>
          <w:sz w:val="28"/>
          <w:szCs w:val="28"/>
        </w:rPr>
        <w:t>V celkové výši 288 579,-.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ZAPOJENÍ ŠKOLY DO PROJEKTŮ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213B26" w:rsidP="00C4203F">
      <w:pPr>
        <w:rPr>
          <w:sz w:val="24"/>
          <w:szCs w:val="24"/>
        </w:rPr>
      </w:pPr>
      <w:r>
        <w:rPr>
          <w:sz w:val="24"/>
          <w:szCs w:val="24"/>
        </w:rPr>
        <w:t>Ovoce do škol</w:t>
      </w:r>
      <w:r w:rsidR="00C4203F">
        <w:rPr>
          <w:sz w:val="24"/>
          <w:szCs w:val="24"/>
        </w:rPr>
        <w:t>, Ml</w:t>
      </w:r>
      <w:r>
        <w:rPr>
          <w:sz w:val="24"/>
          <w:szCs w:val="24"/>
        </w:rPr>
        <w:t>éko do škol,</w:t>
      </w:r>
      <w:r w:rsidR="00C4203F">
        <w:rPr>
          <w:sz w:val="24"/>
          <w:szCs w:val="24"/>
        </w:rPr>
        <w:t xml:space="preserve"> </w:t>
      </w:r>
      <w:proofErr w:type="spellStart"/>
      <w:r w:rsidR="00C4203F">
        <w:rPr>
          <w:sz w:val="24"/>
          <w:szCs w:val="24"/>
        </w:rPr>
        <w:t>Recyklohra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>, Zdravá 5, Technické školky</w:t>
      </w:r>
      <w:r w:rsidR="00C4203F">
        <w:rPr>
          <w:sz w:val="24"/>
          <w:szCs w:val="24"/>
        </w:rPr>
        <w:t>.</w:t>
      </w:r>
    </w:p>
    <w:p w:rsidR="00C4203F" w:rsidRDefault="00C4203F" w:rsidP="00C4203F">
      <w:pPr>
        <w:rPr>
          <w:b/>
          <w:sz w:val="32"/>
          <w:szCs w:val="32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ÚDAJE O SPOLUPRÁCI S ODBOROVÝMI ORGANIZACEMI, ORGANIZACEMI ZAMĚSTNAVATELŮ A DALŠÍMI PARTNERY PŘI PLNĚNÍ ÚKOLŮ PŘI VZDĚLÁVÁNÍ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Na naší škole nepracuje žádná odborová organizace. Spolupracujeme se sdružením </w:t>
      </w:r>
      <w:proofErr w:type="gramStart"/>
      <w:r>
        <w:rPr>
          <w:sz w:val="24"/>
          <w:szCs w:val="24"/>
        </w:rPr>
        <w:t>Rodiče  a děti</w:t>
      </w:r>
      <w:proofErr w:type="gramEnd"/>
      <w:r>
        <w:rPr>
          <w:sz w:val="24"/>
          <w:szCs w:val="24"/>
        </w:rPr>
        <w:t xml:space="preserve">, klubem maminek Sluníčko, </w:t>
      </w:r>
      <w:r w:rsidR="00213B26">
        <w:rPr>
          <w:sz w:val="24"/>
          <w:szCs w:val="24"/>
        </w:rPr>
        <w:t xml:space="preserve">Chudčické zvonky, </w:t>
      </w:r>
      <w:r>
        <w:rPr>
          <w:sz w:val="24"/>
          <w:szCs w:val="24"/>
        </w:rPr>
        <w:t>Mašinka, zřizovatelem školy, s klubem důchodců v obci, fotbalovým družstvem Chudčice, s okolními školami ZŠ Veverská Bítýška, Lažánky,  Moravské Knínice a ZŠ Sentice. Vynikající spolupráce je i mezi jednotlivými rodiči, kteří spolupracují se školou na krátkodobých projektech, pomoci při školní</w:t>
      </w:r>
      <w:r w:rsidR="00213B26">
        <w:rPr>
          <w:sz w:val="24"/>
          <w:szCs w:val="24"/>
        </w:rPr>
        <w:t>ch akcích, soutěžích,</w:t>
      </w:r>
      <w:r>
        <w:rPr>
          <w:sz w:val="24"/>
          <w:szCs w:val="24"/>
        </w:rPr>
        <w:t xml:space="preserve"> pomoc při zajišťování akcí, na které škola sama nestačí – ořezávání větví na školní zahradě, drobné opravy ve škole, se sponzory školy.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ÚSPĚCHY ŽÁKŮ V SOUTĚŽÍCH</w:t>
      </w:r>
    </w:p>
    <w:p w:rsidR="00C4203F" w:rsidRDefault="00C4203F" w:rsidP="00C4203F">
      <w:pPr>
        <w:rPr>
          <w:sz w:val="24"/>
          <w:szCs w:val="24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Účast v soutěžích byla letos méně úspěšná, nedosáhli jsme na stupně vítězů. 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ZHODNOCENÍ A ZÁVĚR</w:t>
      </w:r>
    </w:p>
    <w:p w:rsidR="00C4203F" w:rsidRDefault="00C4203F" w:rsidP="00C4203F">
      <w:pPr>
        <w:rPr>
          <w:b/>
          <w:sz w:val="28"/>
          <w:szCs w:val="28"/>
        </w:rPr>
      </w:pP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      V uplynulém školním roce jsme </w:t>
      </w:r>
      <w:proofErr w:type="spellStart"/>
      <w:r w:rsidR="00E73300">
        <w:rPr>
          <w:sz w:val="24"/>
          <w:szCs w:val="24"/>
        </w:rPr>
        <w:t>jsme</w:t>
      </w:r>
      <w:proofErr w:type="spellEnd"/>
      <w:r w:rsidR="00E73300">
        <w:rPr>
          <w:sz w:val="24"/>
          <w:szCs w:val="24"/>
        </w:rPr>
        <w:t xml:space="preserve"> zažili něco nového. Vzhledem ke karanténě, kterou způsobil COVID 19, probíhala výuka </w:t>
      </w:r>
      <w:proofErr w:type="gramStart"/>
      <w:r w:rsidR="00E73300">
        <w:rPr>
          <w:sz w:val="24"/>
          <w:szCs w:val="24"/>
        </w:rPr>
        <w:t>on</w:t>
      </w:r>
      <w:proofErr w:type="gramEnd"/>
      <w:r w:rsidR="00E73300">
        <w:rPr>
          <w:sz w:val="24"/>
          <w:szCs w:val="24"/>
        </w:rPr>
        <w:t xml:space="preserve"> –</w:t>
      </w:r>
      <w:proofErr w:type="gramStart"/>
      <w:r w:rsidR="00E73300">
        <w:rPr>
          <w:sz w:val="24"/>
          <w:szCs w:val="24"/>
        </w:rPr>
        <w:t>line</w:t>
      </w:r>
      <w:proofErr w:type="gramEnd"/>
      <w:r w:rsidR="00E73300">
        <w:rPr>
          <w:sz w:val="24"/>
          <w:szCs w:val="24"/>
        </w:rPr>
        <w:t xml:space="preserve"> přes aplikaci SKYPE. Naučilo nás to novým netradičním způsobům výuky přes počítač. Dále jsme </w:t>
      </w:r>
      <w:r>
        <w:rPr>
          <w:sz w:val="24"/>
          <w:szCs w:val="24"/>
        </w:rPr>
        <w:t xml:space="preserve">pokračovali v pořádání tradičních i netradičních akcích školy. MŠ a ŠD vybavujeme postupně novými hračkami a pomůckami podporujícími zdravý tělesný a duševní rozvoj dětí a žáků. Na všechny akce školy srdečně zveme naše spoluobčany a žáky z ostatních okolních škol. 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     Na webových stránkách školy prezentujeme i akce ostatních organizací působících v obci tak, aby všichni byli řádně a včas informováni.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      Zároveň i my se zúčastňujeme jejich akcí, na které nás zvou </w:t>
      </w:r>
      <w:r w:rsidR="00213B26">
        <w:rPr>
          <w:sz w:val="24"/>
          <w:szCs w:val="24"/>
        </w:rPr>
        <w:t>spolky z Chudčic a ostatní školy z</w:t>
      </w:r>
      <w:r>
        <w:rPr>
          <w:sz w:val="24"/>
          <w:szCs w:val="24"/>
        </w:rPr>
        <w:t> okolí.</w:t>
      </w:r>
    </w:p>
    <w:p w:rsidR="00C4203F" w:rsidRDefault="00C4203F" w:rsidP="00C4203F">
      <w:pPr>
        <w:rPr>
          <w:sz w:val="24"/>
          <w:szCs w:val="24"/>
        </w:rPr>
      </w:pPr>
      <w:r>
        <w:rPr>
          <w:sz w:val="24"/>
          <w:szCs w:val="24"/>
        </w:rPr>
        <w:t xml:space="preserve">      Ve spolupráci se zřizovatelem školy postupně vybavujeme a modernizujeme školní družinu i školní kuchyni. Ve školní kuchyni preferujeme zdravou výživu a podporujeme zdravý životní styl. Snažíme se hledat a zavádět i další nové, přitažlivé a poučné akce pro žáky, aby výuka byla stále zajímavá a pestrá pro všechny děti. Vlastní prožitek je velice důležitý a po čase mají děti nač vzpomínat.</w:t>
      </w:r>
    </w:p>
    <w:p w:rsidR="009F3243" w:rsidRPr="00C4203F" w:rsidRDefault="009F3243" w:rsidP="00C4203F"/>
    <w:sectPr w:rsidR="009F3243" w:rsidRPr="00C42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37534"/>
    <w:multiLevelType w:val="hybridMultilevel"/>
    <w:tmpl w:val="55D4FEA6"/>
    <w:lvl w:ilvl="0" w:tplc="2B7A5D3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7A5B"/>
    <w:multiLevelType w:val="hybridMultilevel"/>
    <w:tmpl w:val="A74A67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F04E8"/>
    <w:multiLevelType w:val="hybridMultilevel"/>
    <w:tmpl w:val="DCE4B5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55279"/>
    <w:multiLevelType w:val="hybridMultilevel"/>
    <w:tmpl w:val="65A6F4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77F16"/>
    <w:multiLevelType w:val="hybridMultilevel"/>
    <w:tmpl w:val="A822B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13DB"/>
    <w:multiLevelType w:val="hybridMultilevel"/>
    <w:tmpl w:val="EFE86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3F"/>
    <w:rsid w:val="00213B26"/>
    <w:rsid w:val="00333BB1"/>
    <w:rsid w:val="00340A4C"/>
    <w:rsid w:val="004403F8"/>
    <w:rsid w:val="00893B88"/>
    <w:rsid w:val="008D4593"/>
    <w:rsid w:val="009F3243"/>
    <w:rsid w:val="00C4203F"/>
    <w:rsid w:val="00D06A97"/>
    <w:rsid w:val="00E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E218C-BFDA-47D6-8F89-6D0490D4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2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4203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03F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4203F"/>
    <w:pPr>
      <w:ind w:left="720"/>
      <w:contextualSpacing/>
    </w:pPr>
  </w:style>
  <w:style w:type="table" w:styleId="Mkatabulky">
    <w:name w:val="Table Grid"/>
    <w:basedOn w:val="Normlntabulka"/>
    <w:rsid w:val="00C42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udcice.cz/skola/" TargetMode="External"/><Relationship Id="rId5" Type="http://schemas.openxmlformats.org/officeDocument/2006/relationships/hyperlink" Target="mailto:skola@chudc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2127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Škola Chudčice</Company>
  <LinksUpToDate>false</LinksUpToDate>
  <CharactersWithSpaces>14649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Truhla001</dc:creator>
  <cp:keywords/>
  <dc:description/>
  <cp:lastModifiedBy>Truhla001</cp:lastModifiedBy>
  <cp:revision>12</cp:revision>
  <dcterms:created xsi:type="dcterms:W3CDTF">2020-06-19T08:10:00Z</dcterms:created>
  <dcterms:modified xsi:type="dcterms:W3CDTF">2020-06-24T08:31:00Z</dcterms:modified>
</cp:coreProperties>
</file>