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D6" w:rsidRPr="00F964D6" w:rsidRDefault="00F964D6" w:rsidP="00F964D6">
      <w:pPr>
        <w:outlineLvl w:val="0"/>
        <w:rPr>
          <w:u w:val="single"/>
        </w:rPr>
      </w:pPr>
      <w:r w:rsidRPr="00F964D6">
        <w:rPr>
          <w:noProof/>
        </w:rPr>
        <w:drawing>
          <wp:inline distT="0" distB="0" distL="0" distR="0">
            <wp:extent cx="741274" cy="741274"/>
            <wp:effectExtent l="19050" t="0" r="1676" b="0"/>
            <wp:docPr id="1" name="obrázek 1" descr="C:\Documents and Settings\REDITELKA\Dokumenty\LOGA\MŠ NA KORÁBĚ, vybrané logo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EDITELKA\Dokumenty\LOGA\MŠ NA KORÁBĚ, vybrané logo A.jpg"/>
                    <pic:cNvPicPr>
                      <a:picLocks noChangeAspect="1" noChangeArrowheads="1"/>
                    </pic:cNvPicPr>
                  </pic:nvPicPr>
                  <pic:blipFill>
                    <a:blip r:embed="rId5" cstate="print"/>
                    <a:srcRect/>
                    <a:stretch>
                      <a:fillRect/>
                    </a:stretch>
                  </pic:blipFill>
                  <pic:spPr bwMode="auto">
                    <a:xfrm>
                      <a:off x="0" y="0"/>
                      <a:ext cx="741274" cy="741274"/>
                    </a:xfrm>
                    <a:prstGeom prst="rect">
                      <a:avLst/>
                    </a:prstGeom>
                    <a:noFill/>
                    <a:ln w="9525">
                      <a:noFill/>
                      <a:miter lim="800000"/>
                      <a:headEnd/>
                      <a:tailEnd/>
                    </a:ln>
                  </pic:spPr>
                </pic:pic>
              </a:graphicData>
            </a:graphic>
          </wp:inline>
        </w:drawing>
      </w:r>
      <w:r w:rsidRPr="00F964D6">
        <w:rPr>
          <w:b/>
          <w:sz w:val="28"/>
          <w:szCs w:val="28"/>
        </w:rPr>
        <w:t xml:space="preserve">        </w:t>
      </w:r>
      <w:r w:rsidRPr="00F964D6">
        <w:rPr>
          <w:b/>
          <w:sz w:val="28"/>
          <w:szCs w:val="28"/>
          <w:u w:val="single"/>
        </w:rPr>
        <w:t xml:space="preserve">Kritéria Mateřské školy, Praha 8, Na </w:t>
      </w:r>
      <w:proofErr w:type="spellStart"/>
      <w:r w:rsidRPr="00F964D6">
        <w:rPr>
          <w:b/>
          <w:sz w:val="28"/>
          <w:szCs w:val="28"/>
          <w:u w:val="single"/>
        </w:rPr>
        <w:t>Korábě</w:t>
      </w:r>
      <w:proofErr w:type="spellEnd"/>
      <w:r w:rsidRPr="00F964D6">
        <w:rPr>
          <w:b/>
          <w:sz w:val="28"/>
          <w:szCs w:val="28"/>
          <w:u w:val="single"/>
        </w:rPr>
        <w:t xml:space="preserve">  2</w:t>
      </w:r>
    </w:p>
    <w:p w:rsidR="00F964D6" w:rsidRPr="00F964D6" w:rsidRDefault="00F964D6" w:rsidP="00F964D6">
      <w:pPr>
        <w:jc w:val="center"/>
        <w:rPr>
          <w:b/>
          <w:sz w:val="28"/>
          <w:szCs w:val="28"/>
          <w:u w:val="single"/>
        </w:rPr>
      </w:pPr>
      <w:r w:rsidRPr="00F964D6">
        <w:rPr>
          <w:b/>
          <w:sz w:val="28"/>
          <w:szCs w:val="28"/>
          <w:u w:val="single"/>
        </w:rPr>
        <w:t>k přijímání dětí k předškolnímu vzd</w:t>
      </w:r>
      <w:r w:rsidR="00C85629">
        <w:rPr>
          <w:b/>
          <w:sz w:val="28"/>
          <w:szCs w:val="28"/>
          <w:u w:val="single"/>
        </w:rPr>
        <w:t>ělávání pro školní rok 2015/2016</w:t>
      </w:r>
      <w:bookmarkStart w:id="0" w:name="_GoBack"/>
      <w:bookmarkEnd w:id="0"/>
    </w:p>
    <w:p w:rsidR="00F964D6" w:rsidRDefault="00F964D6" w:rsidP="00F964D6">
      <w:pPr>
        <w:ind w:firstLine="708"/>
      </w:pPr>
      <w:r>
        <w:t xml:space="preserve">Ředitelka mateřské školy </w:t>
      </w:r>
      <w:r w:rsidRPr="00312213">
        <w:t>stanovil</w:t>
      </w:r>
      <w:r>
        <w:t>a následující kritéria, podle kterých postupuje při rozhodování o přijetí dětí k předškolnímu vzdělávání pro následující školní rok v případech</w:t>
      </w:r>
      <w:smartTag w:uri="urn:schemas-microsoft-com:office:smarttags" w:element="PersonName">
        <w:r>
          <w:t>,</w:t>
        </w:r>
      </w:smartTag>
      <w:r>
        <w:t xml:space="preserve"> kdy počet žádostí o přijetí podaných zákonnými zástupci dětí</w:t>
      </w:r>
      <w:smartTag w:uri="urn:schemas-microsoft-com:office:smarttags" w:element="PersonName">
        <w:r>
          <w:t>,</w:t>
        </w:r>
      </w:smartTag>
      <w:r>
        <w:t xml:space="preserve"> překročí stanovenou kapacitu počtu dětí ve třídách mateřských škol. </w:t>
      </w:r>
    </w:p>
    <w:p w:rsidR="00F964D6" w:rsidRDefault="00F964D6" w:rsidP="00F964D6">
      <w:r>
        <w:tab/>
        <w:t>Organizace předškolního vzdělávání je stanovena v </w:t>
      </w:r>
      <w:proofErr w:type="spellStart"/>
      <w:r>
        <w:t>ust</w:t>
      </w:r>
      <w:proofErr w:type="spellEnd"/>
      <w:r>
        <w:t xml:space="preserve">. </w:t>
      </w:r>
      <w:r w:rsidRPr="00EF5C12">
        <w:rPr>
          <w:b/>
        </w:rPr>
        <w:t>§ 34 zákona č. 561/2004 Sb.</w:t>
      </w:r>
      <w:smartTag w:uri="urn:schemas-microsoft-com:office:smarttags" w:element="PersonName">
        <w:r>
          <w:t>,</w:t>
        </w:r>
      </w:smartTag>
      <w:r>
        <w:t xml:space="preserve"> o předškolním</w:t>
      </w:r>
      <w:smartTag w:uri="urn:schemas-microsoft-com:office:smarttags" w:element="PersonName">
        <w:r>
          <w:t>,</w:t>
        </w:r>
      </w:smartTag>
      <w:r>
        <w:t xml:space="preserve"> základním</w:t>
      </w:r>
      <w:smartTag w:uri="urn:schemas-microsoft-com:office:smarttags" w:element="PersonName">
        <w:r>
          <w:t>,</w:t>
        </w:r>
      </w:smartTag>
      <w:r>
        <w:t xml:space="preserve"> středním</w:t>
      </w:r>
      <w:smartTag w:uri="urn:schemas-microsoft-com:office:smarttags" w:element="PersonName">
        <w:r>
          <w:t>,</w:t>
        </w:r>
      </w:smartTag>
      <w:r>
        <w:t xml:space="preserve"> vyšším odborném a jiném vzdělávání (školský zákon)</w:t>
      </w:r>
      <w:smartTag w:uri="urn:schemas-microsoft-com:office:smarttags" w:element="PersonName">
        <w:r>
          <w:t>,</w:t>
        </w:r>
      </w:smartTag>
      <w:r>
        <w:t xml:space="preserve"> ve znění pozdějších předpisů.</w:t>
      </w:r>
    </w:p>
    <w:p w:rsidR="00F964D6" w:rsidRDefault="00F964D6" w:rsidP="00F964D6">
      <w:r>
        <w:tab/>
      </w:r>
      <w:r w:rsidRPr="00312213">
        <w:t>Vzdělávání je založeno na zásadách rovného přístupu každého státního občana České republiky nebo jiného členského státu Evropské unie ke vzdělávání. K předškolnímu vzdělávání a ke školským službám jsou přijímány v souladu s </w:t>
      </w:r>
      <w:proofErr w:type="spellStart"/>
      <w:r w:rsidRPr="00312213">
        <w:t>ust</w:t>
      </w:r>
      <w:proofErr w:type="spellEnd"/>
      <w:r w:rsidRPr="00312213">
        <w:t xml:space="preserve">. § 20 odst. </w:t>
      </w:r>
      <w:r>
        <w:t>2</w:t>
      </w:r>
      <w:r w:rsidRPr="00312213">
        <w:t xml:space="preserve"> písm. d) školského zákona děti cizinců z ostatních zemí</w:t>
      </w:r>
      <w:smartTag w:uri="urn:schemas-microsoft-com:office:smarttags" w:element="PersonName">
        <w:r w:rsidRPr="00312213">
          <w:t>,</w:t>
        </w:r>
      </w:smartTag>
      <w:r w:rsidRPr="00312213">
        <w:t xml:space="preserve"> pokud mají právo pobytu na území České republiky na dobu delší než 90 dnů, popřípadě pokud jsou osobami oprávněnými pobývat na území České republiky za účelem výzkumu, azylanty, osobami požívajícími doplňkové ochrany, žadateli o udělení mezinárodní ochrany nebo osobami požívajícími dočasné ochrany, pokud prokáží oprávněnost svého pobytu dokladem</w:t>
      </w:r>
      <w:r>
        <w:t xml:space="preserve">. </w:t>
      </w:r>
    </w:p>
    <w:p w:rsidR="00F964D6" w:rsidRPr="00253947" w:rsidRDefault="00F964D6" w:rsidP="00F964D6">
      <w:pPr>
        <w:ind w:firstLine="708"/>
      </w:pPr>
      <w:r w:rsidRPr="00BB3815">
        <w:rPr>
          <w:szCs w:val="24"/>
        </w:rPr>
        <w:t xml:space="preserve">Děti jsou přijímány </w:t>
      </w:r>
      <w:r w:rsidRPr="00BB3815">
        <w:rPr>
          <w:b/>
          <w:szCs w:val="24"/>
        </w:rPr>
        <w:t>postupně</w:t>
      </w:r>
      <w:r w:rsidRPr="00BB3815">
        <w:rPr>
          <w:szCs w:val="24"/>
        </w:rPr>
        <w:t xml:space="preserve"> </w:t>
      </w:r>
      <w:r w:rsidRPr="00BB3815">
        <w:rPr>
          <w:b/>
          <w:szCs w:val="24"/>
        </w:rPr>
        <w:t>dle</w:t>
      </w:r>
      <w:r w:rsidRPr="00BB3815">
        <w:rPr>
          <w:szCs w:val="24"/>
        </w:rPr>
        <w:t xml:space="preserve"> níže uvedených </w:t>
      </w:r>
      <w:r w:rsidRPr="00BB3815">
        <w:rPr>
          <w:b/>
          <w:szCs w:val="24"/>
        </w:rPr>
        <w:t xml:space="preserve">kritérií. Při shodném součtu bodového ohodnocení více dětmi má </w:t>
      </w:r>
      <w:r w:rsidRPr="00BB3815">
        <w:rPr>
          <w:b/>
          <w:szCs w:val="24"/>
          <w:u w:val="single"/>
        </w:rPr>
        <w:t>přednost starší dítě</w:t>
      </w:r>
      <w:r w:rsidRPr="00BB3815">
        <w:rPr>
          <w:b/>
          <w:szCs w:val="24"/>
        </w:rPr>
        <w:t xml:space="preserve">.  </w:t>
      </w:r>
      <w:r w:rsidRPr="00BB3815">
        <w:rPr>
          <w:szCs w:val="24"/>
        </w:rPr>
        <w:t>V případě rovnosti bodů (shodnosti posuzovaných kritérií</w:t>
      </w:r>
      <w:r>
        <w:rPr>
          <w:szCs w:val="24"/>
        </w:rPr>
        <w:t>, včetně shodného data narození</w:t>
      </w:r>
      <w:r w:rsidRPr="00BB3815">
        <w:rPr>
          <w:szCs w:val="24"/>
        </w:rPr>
        <w:t>) může být v ojedinělých individuálních případech zohledněna výdělečná činnost rodiče dítěte. K výdělečné činnosti se však nepřihlédne, pokud je rodič dítěte, který není výdělečně činný, na mateřské/rodičovské dovolené s dalším dítětem.</w:t>
      </w:r>
    </w:p>
    <w:p w:rsidR="00F964D6" w:rsidRDefault="00F964D6" w:rsidP="00F964D6">
      <w:pPr>
        <w:suppressAutoHyphens/>
        <w:ind w:firstLine="708"/>
        <w:rPr>
          <w:b/>
          <w:u w:val="single"/>
        </w:rPr>
      </w:pPr>
      <w:r w:rsidRPr="00054962">
        <w:t>Děti mohou být přijaty k předškolnímu vzdělávání</w:t>
      </w:r>
      <w:r w:rsidRPr="00054962">
        <w:rPr>
          <w:b/>
          <w:u w:val="single"/>
        </w:rPr>
        <w:t xml:space="preserve"> i v průběhu školního roku.</w:t>
      </w:r>
    </w:p>
    <w:p w:rsidR="00F964D6" w:rsidRPr="00F964D6" w:rsidRDefault="00F964D6" w:rsidP="00F964D6">
      <w:pPr>
        <w:suppressAutoHyphens/>
        <w:ind w:firstLine="708"/>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F964D6" w:rsidRPr="006F1DFE" w:rsidTr="00A74D68">
        <w:tc>
          <w:tcPr>
            <w:tcW w:w="3070" w:type="dxa"/>
            <w:shd w:val="clear" w:color="auto" w:fill="auto"/>
          </w:tcPr>
          <w:p w:rsidR="00F964D6" w:rsidRPr="006F1DFE" w:rsidRDefault="00F964D6" w:rsidP="00A74D68">
            <w:pPr>
              <w:suppressAutoHyphens/>
              <w:jc w:val="left"/>
              <w:rPr>
                <w:b/>
              </w:rPr>
            </w:pPr>
            <w:r w:rsidRPr="006F1DFE">
              <w:rPr>
                <w:b/>
              </w:rPr>
              <w:t>Kritérium</w:t>
            </w:r>
          </w:p>
        </w:tc>
        <w:tc>
          <w:tcPr>
            <w:tcW w:w="3071" w:type="dxa"/>
            <w:shd w:val="clear" w:color="auto" w:fill="auto"/>
          </w:tcPr>
          <w:p w:rsidR="00F964D6" w:rsidRPr="006F1DFE" w:rsidRDefault="00F964D6" w:rsidP="00A74D68">
            <w:pPr>
              <w:suppressAutoHyphens/>
              <w:jc w:val="center"/>
              <w:rPr>
                <w:b/>
              </w:rPr>
            </w:pPr>
          </w:p>
        </w:tc>
        <w:tc>
          <w:tcPr>
            <w:tcW w:w="3071" w:type="dxa"/>
            <w:shd w:val="clear" w:color="auto" w:fill="auto"/>
          </w:tcPr>
          <w:p w:rsidR="00F964D6" w:rsidRPr="006F1DFE" w:rsidRDefault="00F964D6" w:rsidP="00A74D68">
            <w:pPr>
              <w:suppressAutoHyphens/>
              <w:jc w:val="center"/>
              <w:rPr>
                <w:b/>
              </w:rPr>
            </w:pPr>
            <w:r w:rsidRPr="006F1DFE">
              <w:rPr>
                <w:b/>
              </w:rPr>
              <w:t>Bodové ohodnocení</w:t>
            </w:r>
          </w:p>
        </w:tc>
      </w:tr>
      <w:tr w:rsidR="00F964D6" w:rsidRPr="006F1DFE" w:rsidTr="00A74D68">
        <w:tc>
          <w:tcPr>
            <w:tcW w:w="3070" w:type="dxa"/>
            <w:shd w:val="clear" w:color="auto" w:fill="auto"/>
          </w:tcPr>
          <w:p w:rsidR="00F964D6" w:rsidRPr="003E5E61" w:rsidRDefault="00F964D6" w:rsidP="00A74D68">
            <w:pPr>
              <w:suppressAutoHyphens/>
              <w:jc w:val="left"/>
            </w:pPr>
            <w:r w:rsidRPr="003E5E61">
              <w:t>Trvalý pobyt dítěte</w:t>
            </w:r>
          </w:p>
        </w:tc>
        <w:tc>
          <w:tcPr>
            <w:tcW w:w="3071" w:type="dxa"/>
            <w:shd w:val="clear" w:color="auto" w:fill="auto"/>
          </w:tcPr>
          <w:p w:rsidR="00F964D6" w:rsidRPr="003E5E61" w:rsidRDefault="00F964D6" w:rsidP="00A74D68">
            <w:pPr>
              <w:suppressAutoHyphens/>
              <w:jc w:val="center"/>
            </w:pPr>
            <w:r w:rsidRPr="003E5E61">
              <w:t>Městská část Praha 8</w:t>
            </w:r>
          </w:p>
        </w:tc>
        <w:tc>
          <w:tcPr>
            <w:tcW w:w="3071" w:type="dxa"/>
            <w:shd w:val="clear" w:color="auto" w:fill="auto"/>
          </w:tcPr>
          <w:p w:rsidR="00F964D6" w:rsidRPr="003E5E61" w:rsidRDefault="00F964D6" w:rsidP="00A74D68">
            <w:pPr>
              <w:suppressAutoHyphens/>
              <w:jc w:val="center"/>
            </w:pPr>
            <w:r>
              <w:t>1</w:t>
            </w:r>
            <w:r w:rsidRPr="003E5E61">
              <w:t>0 bodů</w:t>
            </w:r>
          </w:p>
        </w:tc>
      </w:tr>
      <w:tr w:rsidR="00F964D6" w:rsidRPr="006F1DFE" w:rsidTr="00A74D68">
        <w:trPr>
          <w:trHeight w:val="69"/>
        </w:trPr>
        <w:tc>
          <w:tcPr>
            <w:tcW w:w="3070" w:type="dxa"/>
            <w:vMerge w:val="restart"/>
            <w:shd w:val="clear" w:color="auto" w:fill="auto"/>
          </w:tcPr>
          <w:p w:rsidR="00F964D6" w:rsidRPr="003E5E61" w:rsidRDefault="00F964D6" w:rsidP="00A74D68">
            <w:pPr>
              <w:suppressAutoHyphens/>
              <w:jc w:val="left"/>
            </w:pPr>
            <w:r w:rsidRPr="003E5E61">
              <w:t>Věk dítěte</w:t>
            </w:r>
            <w:r>
              <w:t xml:space="preserve"> ke dni 31. srpna kalendářního roku, kdy probíhá zápis</w:t>
            </w:r>
          </w:p>
        </w:tc>
        <w:tc>
          <w:tcPr>
            <w:tcW w:w="3071" w:type="dxa"/>
            <w:shd w:val="clear" w:color="auto" w:fill="auto"/>
          </w:tcPr>
          <w:p w:rsidR="00F964D6" w:rsidRPr="00F964D6" w:rsidRDefault="00F964D6" w:rsidP="00A74D68">
            <w:pPr>
              <w:suppressAutoHyphens/>
              <w:jc w:val="center"/>
              <w:rPr>
                <w:szCs w:val="22"/>
              </w:rPr>
            </w:pPr>
            <w:r w:rsidRPr="00F964D6">
              <w:rPr>
                <w:sz w:val="22"/>
                <w:szCs w:val="22"/>
              </w:rPr>
              <w:t>5 let a více - předškolák</w:t>
            </w:r>
          </w:p>
        </w:tc>
        <w:tc>
          <w:tcPr>
            <w:tcW w:w="3071" w:type="dxa"/>
            <w:shd w:val="clear" w:color="auto" w:fill="auto"/>
          </w:tcPr>
          <w:p w:rsidR="00F964D6" w:rsidRPr="002F7D83" w:rsidRDefault="00F964D6" w:rsidP="00A74D68">
            <w:pPr>
              <w:suppressAutoHyphens/>
              <w:jc w:val="center"/>
            </w:pPr>
            <w:r>
              <w:t>10</w:t>
            </w:r>
            <w:r w:rsidRPr="002F7D83">
              <w:t xml:space="preserve"> bodů</w:t>
            </w:r>
          </w:p>
        </w:tc>
      </w:tr>
      <w:tr w:rsidR="00F964D6" w:rsidRPr="006F1DFE" w:rsidTr="00A74D68">
        <w:trPr>
          <w:trHeight w:val="67"/>
        </w:trPr>
        <w:tc>
          <w:tcPr>
            <w:tcW w:w="3070" w:type="dxa"/>
            <w:vMerge/>
            <w:shd w:val="clear" w:color="auto" w:fill="auto"/>
          </w:tcPr>
          <w:p w:rsidR="00F964D6" w:rsidRPr="003E5E61" w:rsidRDefault="00F964D6" w:rsidP="00A74D68">
            <w:pPr>
              <w:suppressAutoHyphens/>
              <w:jc w:val="center"/>
            </w:pPr>
          </w:p>
        </w:tc>
        <w:tc>
          <w:tcPr>
            <w:tcW w:w="3071" w:type="dxa"/>
            <w:shd w:val="clear" w:color="auto" w:fill="auto"/>
          </w:tcPr>
          <w:p w:rsidR="00F964D6" w:rsidRPr="00F964D6" w:rsidRDefault="00F964D6" w:rsidP="00A74D68">
            <w:pPr>
              <w:suppressAutoHyphens/>
              <w:jc w:val="center"/>
              <w:rPr>
                <w:szCs w:val="22"/>
              </w:rPr>
            </w:pPr>
            <w:r w:rsidRPr="00F964D6">
              <w:rPr>
                <w:sz w:val="22"/>
                <w:szCs w:val="22"/>
              </w:rPr>
              <w:t>4 roky</w:t>
            </w:r>
          </w:p>
        </w:tc>
        <w:tc>
          <w:tcPr>
            <w:tcW w:w="3071" w:type="dxa"/>
            <w:shd w:val="clear" w:color="auto" w:fill="auto"/>
          </w:tcPr>
          <w:p w:rsidR="00F964D6" w:rsidRPr="003E5E61" w:rsidRDefault="00F964D6" w:rsidP="00A74D68">
            <w:pPr>
              <w:suppressAutoHyphens/>
              <w:jc w:val="center"/>
            </w:pPr>
            <w:r>
              <w:t>4 body</w:t>
            </w:r>
          </w:p>
        </w:tc>
      </w:tr>
      <w:tr w:rsidR="00F964D6" w:rsidRPr="006F1DFE" w:rsidTr="00A74D68">
        <w:trPr>
          <w:trHeight w:val="67"/>
        </w:trPr>
        <w:tc>
          <w:tcPr>
            <w:tcW w:w="3070" w:type="dxa"/>
            <w:vMerge/>
            <w:shd w:val="clear" w:color="auto" w:fill="auto"/>
          </w:tcPr>
          <w:p w:rsidR="00F964D6" w:rsidRPr="003E5E61" w:rsidRDefault="00F964D6" w:rsidP="00A74D68">
            <w:pPr>
              <w:suppressAutoHyphens/>
              <w:jc w:val="center"/>
            </w:pPr>
          </w:p>
        </w:tc>
        <w:tc>
          <w:tcPr>
            <w:tcW w:w="3071" w:type="dxa"/>
            <w:shd w:val="clear" w:color="auto" w:fill="auto"/>
          </w:tcPr>
          <w:p w:rsidR="00F964D6" w:rsidRPr="00F964D6" w:rsidRDefault="00F964D6" w:rsidP="00A74D68">
            <w:pPr>
              <w:suppressAutoHyphens/>
              <w:jc w:val="center"/>
              <w:rPr>
                <w:szCs w:val="22"/>
              </w:rPr>
            </w:pPr>
            <w:r w:rsidRPr="00F964D6">
              <w:rPr>
                <w:sz w:val="22"/>
                <w:szCs w:val="22"/>
              </w:rPr>
              <w:t>3 roky</w:t>
            </w:r>
          </w:p>
        </w:tc>
        <w:tc>
          <w:tcPr>
            <w:tcW w:w="3071" w:type="dxa"/>
            <w:shd w:val="clear" w:color="auto" w:fill="auto"/>
          </w:tcPr>
          <w:p w:rsidR="00F964D6" w:rsidRPr="003E5E61" w:rsidRDefault="00F964D6" w:rsidP="00A74D68">
            <w:pPr>
              <w:suppressAutoHyphens/>
              <w:jc w:val="center"/>
            </w:pPr>
            <w:r>
              <w:t>3 body</w:t>
            </w:r>
          </w:p>
        </w:tc>
      </w:tr>
      <w:tr w:rsidR="00F964D6" w:rsidRPr="006F1DFE" w:rsidTr="00A74D68">
        <w:trPr>
          <w:trHeight w:val="67"/>
        </w:trPr>
        <w:tc>
          <w:tcPr>
            <w:tcW w:w="3070" w:type="dxa"/>
            <w:vMerge/>
            <w:shd w:val="clear" w:color="auto" w:fill="auto"/>
          </w:tcPr>
          <w:p w:rsidR="00F964D6" w:rsidRPr="003E5E61" w:rsidRDefault="00F964D6" w:rsidP="00A74D68">
            <w:pPr>
              <w:suppressAutoHyphens/>
              <w:jc w:val="center"/>
            </w:pPr>
          </w:p>
        </w:tc>
        <w:tc>
          <w:tcPr>
            <w:tcW w:w="3071" w:type="dxa"/>
            <w:shd w:val="clear" w:color="auto" w:fill="auto"/>
          </w:tcPr>
          <w:p w:rsidR="00F964D6" w:rsidRPr="00F964D6" w:rsidRDefault="00F964D6" w:rsidP="00A74D68">
            <w:pPr>
              <w:suppressAutoHyphens/>
              <w:jc w:val="left"/>
              <w:rPr>
                <w:szCs w:val="22"/>
              </w:rPr>
            </w:pPr>
            <w:r w:rsidRPr="00F964D6">
              <w:rPr>
                <w:sz w:val="22"/>
                <w:szCs w:val="22"/>
              </w:rPr>
              <w:t>2 roky – podmínkou je dovršení věku 3 let k 31. prosinci kalendářního roku, kdy probíhá zápis</w:t>
            </w:r>
          </w:p>
        </w:tc>
        <w:tc>
          <w:tcPr>
            <w:tcW w:w="3071" w:type="dxa"/>
            <w:shd w:val="clear" w:color="auto" w:fill="auto"/>
          </w:tcPr>
          <w:p w:rsidR="00F964D6" w:rsidRPr="003E5E61" w:rsidRDefault="00F964D6" w:rsidP="00A74D68">
            <w:pPr>
              <w:suppressAutoHyphens/>
              <w:jc w:val="center"/>
            </w:pPr>
            <w:r>
              <w:t>2 body</w:t>
            </w:r>
          </w:p>
        </w:tc>
      </w:tr>
      <w:tr w:rsidR="00F964D6" w:rsidRPr="006F1DFE" w:rsidTr="00A74D68">
        <w:trPr>
          <w:trHeight w:val="90"/>
        </w:trPr>
        <w:tc>
          <w:tcPr>
            <w:tcW w:w="3070" w:type="dxa"/>
            <w:vMerge w:val="restart"/>
            <w:shd w:val="clear" w:color="auto" w:fill="auto"/>
          </w:tcPr>
          <w:p w:rsidR="00F964D6" w:rsidRPr="003E5E61" w:rsidRDefault="00F964D6" w:rsidP="00A74D68">
            <w:pPr>
              <w:suppressAutoHyphens/>
              <w:jc w:val="left"/>
            </w:pPr>
            <w:r w:rsidRPr="003E5E61">
              <w:t>Individuální situace dítěte</w:t>
            </w:r>
          </w:p>
        </w:tc>
        <w:tc>
          <w:tcPr>
            <w:tcW w:w="3071" w:type="dxa"/>
            <w:shd w:val="clear" w:color="auto" w:fill="auto"/>
          </w:tcPr>
          <w:p w:rsidR="00F964D6" w:rsidRPr="00F964D6" w:rsidRDefault="00F964D6" w:rsidP="00A74D68">
            <w:pPr>
              <w:suppressAutoHyphens/>
              <w:jc w:val="left"/>
              <w:rPr>
                <w:szCs w:val="22"/>
              </w:rPr>
            </w:pPr>
            <w:r w:rsidRPr="00F964D6">
              <w:rPr>
                <w:sz w:val="22"/>
                <w:szCs w:val="22"/>
              </w:rPr>
              <w:t xml:space="preserve">MŠ, resp. ZŠ, pokud má MŠ jako svou součást, navštěvuje sourozenec, resp. sourozenci – s tím, že rozhodujícím okamžikem pro přiznání bodového ohodnocení je datum podání žádosti k předškolnímu vzdělávání </w:t>
            </w:r>
          </w:p>
        </w:tc>
        <w:tc>
          <w:tcPr>
            <w:tcW w:w="3071" w:type="dxa"/>
            <w:shd w:val="clear" w:color="auto" w:fill="auto"/>
          </w:tcPr>
          <w:p w:rsidR="00F964D6" w:rsidRPr="003E5E61" w:rsidRDefault="00F964D6" w:rsidP="00A74D68">
            <w:pPr>
              <w:suppressAutoHyphens/>
              <w:jc w:val="center"/>
            </w:pPr>
            <w:r>
              <w:t>1</w:t>
            </w:r>
            <w:r w:rsidRPr="003E5E61">
              <w:t xml:space="preserve"> bod</w:t>
            </w:r>
          </w:p>
        </w:tc>
      </w:tr>
      <w:tr w:rsidR="00F964D6" w:rsidRPr="006F1DFE" w:rsidTr="00A74D68">
        <w:trPr>
          <w:trHeight w:val="90"/>
        </w:trPr>
        <w:tc>
          <w:tcPr>
            <w:tcW w:w="3070" w:type="dxa"/>
            <w:vMerge/>
            <w:shd w:val="clear" w:color="auto" w:fill="auto"/>
          </w:tcPr>
          <w:p w:rsidR="00F964D6" w:rsidRPr="003E5E61" w:rsidRDefault="00F964D6" w:rsidP="00A74D68">
            <w:pPr>
              <w:suppressAutoHyphens/>
              <w:jc w:val="center"/>
            </w:pPr>
          </w:p>
        </w:tc>
        <w:tc>
          <w:tcPr>
            <w:tcW w:w="3071" w:type="dxa"/>
            <w:shd w:val="clear" w:color="auto" w:fill="auto"/>
          </w:tcPr>
          <w:p w:rsidR="00F964D6" w:rsidRPr="00F964D6" w:rsidRDefault="00F964D6" w:rsidP="00A74D68">
            <w:pPr>
              <w:suppressAutoHyphens/>
              <w:jc w:val="left"/>
              <w:rPr>
                <w:szCs w:val="22"/>
              </w:rPr>
            </w:pPr>
            <w:r w:rsidRPr="00F964D6">
              <w:rPr>
                <w:sz w:val="22"/>
                <w:szCs w:val="22"/>
              </w:rPr>
              <w:t xml:space="preserve">Dítě se hlásí k celodennímu provozu </w:t>
            </w:r>
          </w:p>
        </w:tc>
        <w:tc>
          <w:tcPr>
            <w:tcW w:w="3071" w:type="dxa"/>
            <w:shd w:val="clear" w:color="auto" w:fill="auto"/>
          </w:tcPr>
          <w:p w:rsidR="00F964D6" w:rsidRPr="003E5E61" w:rsidRDefault="00F964D6" w:rsidP="00A74D68">
            <w:pPr>
              <w:suppressAutoHyphens/>
              <w:jc w:val="center"/>
            </w:pPr>
            <w:r>
              <w:t xml:space="preserve">3 body </w:t>
            </w:r>
          </w:p>
        </w:tc>
      </w:tr>
      <w:tr w:rsidR="00F964D6" w:rsidRPr="003E5E61" w:rsidTr="00A74D68">
        <w:trPr>
          <w:trHeight w:val="90"/>
        </w:trPr>
        <w:tc>
          <w:tcPr>
            <w:tcW w:w="3070" w:type="dxa"/>
            <w:vMerge/>
            <w:shd w:val="clear" w:color="auto" w:fill="auto"/>
          </w:tcPr>
          <w:p w:rsidR="00F964D6" w:rsidRPr="003E5E61" w:rsidRDefault="00F964D6" w:rsidP="00A74D68">
            <w:pPr>
              <w:suppressAutoHyphens/>
              <w:jc w:val="center"/>
            </w:pPr>
          </w:p>
        </w:tc>
        <w:tc>
          <w:tcPr>
            <w:tcW w:w="3071" w:type="dxa"/>
            <w:shd w:val="clear" w:color="auto" w:fill="auto"/>
          </w:tcPr>
          <w:p w:rsidR="00F964D6" w:rsidRPr="00F964D6" w:rsidRDefault="00035AF0" w:rsidP="00A74D68">
            <w:pPr>
              <w:suppressAutoHyphens/>
              <w:jc w:val="left"/>
              <w:rPr>
                <w:szCs w:val="22"/>
              </w:rPr>
            </w:pPr>
            <w:r>
              <w:rPr>
                <w:sz w:val="22"/>
                <w:szCs w:val="22"/>
              </w:rPr>
              <w:t>Dítě v pěstounské péči -</w:t>
            </w:r>
            <w:r w:rsidR="00F964D6" w:rsidRPr="00F964D6">
              <w:rPr>
                <w:sz w:val="22"/>
                <w:szCs w:val="22"/>
              </w:rPr>
              <w:t>zákonný zástupce doloží příslušné doklady</w:t>
            </w:r>
          </w:p>
        </w:tc>
        <w:tc>
          <w:tcPr>
            <w:tcW w:w="3071" w:type="dxa"/>
            <w:shd w:val="clear" w:color="auto" w:fill="auto"/>
          </w:tcPr>
          <w:p w:rsidR="00F964D6" w:rsidRPr="003E5E61" w:rsidRDefault="00F964D6" w:rsidP="00A74D68">
            <w:pPr>
              <w:suppressAutoHyphens/>
              <w:jc w:val="center"/>
            </w:pPr>
            <w:r>
              <w:t xml:space="preserve">1 bod </w:t>
            </w:r>
          </w:p>
        </w:tc>
      </w:tr>
    </w:tbl>
    <w:p w:rsidR="000421C6" w:rsidRDefault="000421C6"/>
    <w:sectPr w:rsidR="000421C6" w:rsidSect="000421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4D6"/>
    <w:rsid w:val="00035AF0"/>
    <w:rsid w:val="000421C6"/>
    <w:rsid w:val="002153E6"/>
    <w:rsid w:val="00C85629"/>
    <w:rsid w:val="00EB742B"/>
    <w:rsid w:val="00F964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64D6"/>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964D6"/>
    <w:pPr>
      <w:jc w:val="left"/>
    </w:pPr>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F964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964D6"/>
    <w:pPr>
      <w:spacing w:after="0" w:line="240" w:lineRule="auto"/>
      <w:jc w:val="both"/>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964D6"/>
    <w:pPr>
      <w:jc w:val="left"/>
    </w:pPr>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F964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2136</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Ms na Korabe</Company>
  <LinksUpToDate>false</LinksUpToDate>
  <CharactersWithSpaces>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REDITELKA</dc:creator>
  <cp:lastModifiedBy>Hana Francova</cp:lastModifiedBy>
  <cp:revision>2</cp:revision>
  <dcterms:created xsi:type="dcterms:W3CDTF">2015-01-06T07:40:00Z</dcterms:created>
  <dcterms:modified xsi:type="dcterms:W3CDTF">2015-01-06T07:40:00Z</dcterms:modified>
</cp:coreProperties>
</file>