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jc w:val="center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jc w:val="center"/>
        <w:rPr>
          <w:b/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DLOUHODOBÝ  PLÁN – KONCEPČNÍ ÚKOLY A ZÁMĚRY</w:t>
      </w:r>
    </w:p>
    <w:p>
      <w:pPr>
        <w:pStyle w:val="Normal"/>
        <w:pBdr/>
        <w:overflowPunct w:val="false"/>
        <w:spacing w:lineRule="auto" w:line="276" w:before="0" w:after="200"/>
        <w:jc w:val="center"/>
        <w:rPr/>
        <w:framePr w:w="6835" w:h="778" w:x="0" w:y="1" w:wrap="auto" w:vAnchor="text" w:hAnchor="margin" w:hRule="exact"/>
      </w:pPr>
      <w:r>
        <w:rPr>
          <w:rFonts w:eastAsia="Calibri" w:ascii="Calibri" w:hAnsi="Calibri"/>
          <w:b/>
          <w:sz w:val="22"/>
          <w:szCs w:val="22"/>
          <w:lang w:eastAsia="en-US"/>
        </w:rPr>
        <w:t>Základní škola a Mateřská škola, Hrabětice, příspěvková organizace</w:t>
      </w:r>
    </w:p>
    <w:p>
      <w:pPr>
        <w:pStyle w:val="Normal"/>
        <w:pBdr/>
        <w:overflowPunct w:val="false"/>
        <w:spacing w:lineRule="auto" w:line="276" w:before="0" w:after="200"/>
        <w:jc w:val="center"/>
        <w:rPr/>
        <w:framePr w:w="6835" w:h="778" w:x="0" w:y="1" w:wrap="auto" w:vAnchor="text" w:hAnchor="margin" w:hRule="exact"/>
      </w:pPr>
      <w:r>
        <w:rPr>
          <w:rFonts w:eastAsia="Calibri" w:ascii="Calibri" w:hAnsi="Calibri"/>
          <w:b/>
          <w:sz w:val="22"/>
          <w:szCs w:val="22"/>
          <w:lang w:eastAsia="en-US"/>
        </w:rPr>
        <w:t>se sídlem Kostelní 216, 671 68, Hrabětice, tel. : 515 238 191, IČO: 70990336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jc w:val="center"/>
        <w:rPr/>
      </w:pPr>
      <w:r>
        <w:rPr>
          <w:b/>
        </w:rPr>
        <w:t>Školní rok 2020/2021  -   2023/2024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/>
      </w:pPr>
      <w:r>
        <w:rPr/>
        <w:t>Koncepce vychází analýzy vlastního hodnocení školy po čtyřletém hodnotícím období, akceptuje spolupráci s rodinou, s obcí, s veřejností v obci, zdůrazňuje nutnost  pozitivních klidných vztahů pedagogů,  a ostatních zainteresovaných zaměstnanců, respektuje individuální možnosti dítěte, jeho osobnost.  Základním rysem by měla být otevřenost a klidná pracovní atmosféra při řešení problémů a naplňování sdílených vizí vedoucí k udržení chodu školy.  Koncepce reaguje na současné požadavky českého školství na vzdělávání kvalifikovanými pedagogy, kteří jsou schopni svými odbornými schopnostmi zajistit rovné příležitosti pro všechny děti a žáky.</w:t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>
          <w:u w:val="single"/>
        </w:rPr>
        <w:t>Základní vizí je:</w:t>
      </w:r>
      <w:r>
        <w:rPr/>
        <w:t xml:space="preserve">    děti bydlící v obci navštěvují místní mateřskou školu a pokračující ve vzdělávání v místní škole. 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Škola nabízí kvalitní vzdělávání, rovnou příležitost pro všechny děti a žáky a pozitivní školní bezpečné klima.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Škola tvoří součást obce.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Škola vytváří podmínky pro společenský život obce.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Škola si uvědomuje, že připravuje žáky pro jejich život.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Škola respektuje a  naplňuje  požadavky  současné problematiky českého školství.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Aktivně spolupracuje s rodinou žáka, zaměřuje se na základní učivo, výstupy, které by měl každý žák podle svého osobního maxima zvládnout. Umožňuje rozvoj dovedností, schopností a vědomostí všem dětem a žákům podle jejich nadání.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Škola respektuje filozofii – každý jsme jiný a každý máme jiné možnosti, jiné zázemí.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Škola je otevřena rodičům i veřejnosti.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Zpracovala:   Mgr. Vladimíra Bobková,ř.š.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…………………………………………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>OBLAST ŘÍZENÍ A SPRÁVY</w:t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tbl>
      <w:tblPr>
        <w:tblStyle w:val="Mkatabulky"/>
        <w:tblW w:w="921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12"/>
      </w:tblGrid>
      <w:tr>
        <w:trPr/>
        <w:tc>
          <w:tcPr>
            <w:tcW w:w="9212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szCs w:val="24"/>
              </w:rPr>
            </w:pPr>
            <w:r>
              <w:rPr>
                <w:b/>
                <w:bCs/>
                <w:i/>
                <w:iCs/>
                <w:szCs w:val="24"/>
              </w:rPr>
              <w:t>Udržovat naplněnost školy</w:t>
            </w:r>
          </w:p>
        </w:tc>
      </w:tr>
      <w:tr>
        <w:trPr/>
        <w:tc>
          <w:tcPr>
            <w:tcW w:w="9212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szCs w:val="24"/>
              </w:rPr>
            </w:pPr>
            <w:r>
              <w:rPr>
                <w:b/>
                <w:bCs/>
                <w:i/>
                <w:iCs/>
                <w:szCs w:val="24"/>
                <w:u w:val="none"/>
              </w:rPr>
              <w:t>Spolupracovat se zřizovatelem a školskou radou</w:t>
            </w:r>
            <w:r>
              <w:rPr>
                <w:szCs w:val="24"/>
                <w:u w:val="none"/>
              </w:rPr>
              <w:t xml:space="preserve"> </w:t>
            </w:r>
            <w:r>
              <w:rPr>
                <w:szCs w:val="24"/>
              </w:rPr>
              <w:t>v otázkách finančních, organizačních, při akcích obce,</w:t>
            </w:r>
          </w:p>
          <w:p>
            <w:pPr>
              <w:pStyle w:val="Normal"/>
              <w:spacing w:lineRule="auto" w:line="240" w:before="0" w:after="0"/>
              <w:ind w:left="720" w:hanging="0"/>
              <w:rPr>
                <w:szCs w:val="24"/>
              </w:rPr>
            </w:pPr>
            <w:r>
              <w:rPr>
                <w:szCs w:val="24"/>
              </w:rPr>
              <w:t>snaha o naplnění vizí obce o představách života školy, žáci pro obec</w:t>
            </w:r>
          </w:p>
        </w:tc>
      </w:tr>
      <w:tr>
        <w:trPr/>
        <w:tc>
          <w:tcPr>
            <w:tcW w:w="9212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>
                <w:szCs w:val="24"/>
              </w:rPr>
              <w:t>Pracovat na tvorbě  projektů vedoucích ke zkvalitnění výuky a získání dotací ve spolupráci ze zřizovatelem – Šablony - EU</w:t>
            </w:r>
          </w:p>
        </w:tc>
      </w:tr>
      <w:tr>
        <w:trPr/>
        <w:tc>
          <w:tcPr>
            <w:tcW w:w="9212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>
                <w:szCs w:val="24"/>
              </w:rPr>
              <w:t xml:space="preserve">Vyhodnocovat průběžně práci pedagogů – zjišťovat jejich osobní profesní zaměření, specializaci a osobní náklonnost k oborům a využít jejich zájem pro danou odbornost ve </w:t>
            </w:r>
            <w:r>
              <w:rPr>
                <w:b/>
                <w:bCs/>
                <w:i/>
                <w:iCs/>
                <w:szCs w:val="24"/>
              </w:rPr>
              <w:t>prospěch kvality výuky v jednotlivých předmětech a u různého věku žáků</w:t>
            </w:r>
            <w:r>
              <w:rPr>
                <w:szCs w:val="24"/>
              </w:rPr>
              <w:t xml:space="preserve">, dětí, předávání zkušenností, organizovat  </w:t>
            </w:r>
            <w:r>
              <w:rPr>
                <w:b/>
                <w:bCs/>
                <w:i/>
                <w:iCs/>
                <w:szCs w:val="24"/>
              </w:rPr>
              <w:t>vzájemné náslechy ve výuce</w:t>
            </w:r>
          </w:p>
        </w:tc>
      </w:tr>
      <w:tr>
        <w:trPr/>
        <w:tc>
          <w:tcPr>
            <w:tcW w:w="9212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Hodnotit práci školy – průběžně, v rámci evaluace a vlastního hodnocení, stanovit </w:t>
            </w:r>
            <w:r>
              <w:rPr>
                <w:b/>
                <w:bCs/>
                <w:i/>
                <w:iCs/>
                <w:szCs w:val="24"/>
                <w:u w:val="none"/>
              </w:rPr>
              <w:t>prioritní úkoly na období školního roku</w:t>
            </w:r>
            <w:r>
              <w:rPr>
                <w:b/>
                <w:bCs/>
                <w:szCs w:val="24"/>
                <w:u w:val="single"/>
              </w:rPr>
              <w:t xml:space="preserve">, </w:t>
            </w:r>
            <w:r>
              <w:rPr>
                <w:szCs w:val="24"/>
              </w:rPr>
              <w:t>hodnocení ŠVP,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>
                <w:szCs w:val="24"/>
              </w:rPr>
              <w:t xml:space="preserve">Identifikovat a vyhodnocovat slabé a silné stránky školy, </w:t>
            </w:r>
            <w:r>
              <w:rPr>
                <w:b/>
                <w:bCs/>
                <w:i/>
                <w:iCs/>
                <w:szCs w:val="24"/>
              </w:rPr>
              <w:t xml:space="preserve">příležitosti a rizika </w:t>
            </w:r>
            <w:r>
              <w:rPr>
                <w:szCs w:val="24"/>
              </w:rPr>
              <w:t>- průběžně</w:t>
            </w:r>
          </w:p>
        </w:tc>
      </w:tr>
      <w:tr>
        <w:trPr/>
        <w:tc>
          <w:tcPr>
            <w:tcW w:w="9212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>
                <w:b/>
                <w:bCs/>
                <w:i/>
                <w:iCs/>
                <w:szCs w:val="24"/>
              </w:rPr>
              <w:t>Zaměřit se na odbornou kvalifikaci pedagogů,</w:t>
            </w:r>
            <w:r>
              <w:rPr>
                <w:szCs w:val="24"/>
              </w:rPr>
              <w:t xml:space="preserve"> vyhodnocovat personální rizika  vzhledem k náročnosti práci vyučujících v málotřídní škole,  </w:t>
            </w:r>
            <w:r>
              <w:rPr>
                <w:b/>
                <w:bCs/>
                <w:i/>
                <w:iCs/>
                <w:szCs w:val="24"/>
              </w:rPr>
              <w:t>v mateřské škole školní zralost, práce s dětmi méně než tříletými</w:t>
            </w:r>
          </w:p>
        </w:tc>
      </w:tr>
      <w:tr>
        <w:trPr/>
        <w:tc>
          <w:tcPr>
            <w:tcW w:w="9212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szCs w:val="24"/>
              </w:rPr>
            </w:pPr>
            <w:r>
              <w:rPr>
                <w:b/>
                <w:bCs/>
                <w:i/>
                <w:iCs/>
                <w:szCs w:val="24"/>
              </w:rPr>
              <w:t xml:space="preserve">Rozvíjet týmovou spolupráci </w:t>
            </w:r>
            <w:r>
              <w:rPr>
                <w:szCs w:val="24"/>
              </w:rPr>
              <w:t>– využívat odborných znalostí a zaměření jednotlivců pro komplexní práci školy</w:t>
            </w:r>
          </w:p>
        </w:tc>
      </w:tr>
      <w:tr>
        <w:trPr/>
        <w:tc>
          <w:tcPr>
            <w:tcW w:w="9212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szCs w:val="24"/>
              </w:rPr>
            </w:pPr>
            <w:r>
              <w:rPr>
                <w:szCs w:val="24"/>
              </w:rPr>
              <w:t>Prodiskutovávat a hledat řešení závažných  problémů společně v týmu, t</w:t>
            </w:r>
            <w:r>
              <w:rPr>
                <w:b/>
                <w:bCs/>
                <w:i/>
                <w:iCs/>
                <w:szCs w:val="24"/>
              </w:rPr>
              <w:t>ýmově se snažit o pozitivní klima školy</w:t>
            </w:r>
          </w:p>
        </w:tc>
      </w:tr>
      <w:tr>
        <w:trPr/>
        <w:tc>
          <w:tcPr>
            <w:tcW w:w="9212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Vytvářet zaměstnancům </w:t>
            </w:r>
            <w:r>
              <w:rPr>
                <w:b/>
                <w:bCs/>
                <w:i/>
                <w:iCs/>
                <w:szCs w:val="24"/>
              </w:rPr>
              <w:t>vhodné a bezpečné podmínky</w:t>
            </w:r>
            <w:r>
              <w:rPr>
                <w:szCs w:val="24"/>
              </w:rPr>
              <w:t xml:space="preserve"> pro výkon jejich práce</w:t>
            </w:r>
          </w:p>
        </w:tc>
      </w:tr>
      <w:tr>
        <w:trPr/>
        <w:tc>
          <w:tcPr>
            <w:tcW w:w="9212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>
                <w:szCs w:val="24"/>
              </w:rPr>
              <w:t xml:space="preserve">Zkvalitnit řídící práci – ředitel a vedoucí pracovišť, </w:t>
            </w:r>
            <w:r>
              <w:rPr>
                <w:b/>
                <w:bCs/>
                <w:i/>
                <w:iCs/>
                <w:szCs w:val="24"/>
              </w:rPr>
              <w:t>sdílení s pedagogickým personálem</w:t>
            </w:r>
          </w:p>
        </w:tc>
      </w:tr>
      <w:tr>
        <w:trPr/>
        <w:tc>
          <w:tcPr>
            <w:tcW w:w="9212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szCs w:val="24"/>
              </w:rPr>
            </w:pPr>
            <w:r>
              <w:rPr>
                <w:b/>
                <w:bCs/>
                <w:i/>
                <w:iCs/>
                <w:szCs w:val="24"/>
              </w:rPr>
              <w:t>Vážná rozhodnutí projednávat předem na pedagogických radách</w:t>
            </w:r>
          </w:p>
        </w:tc>
      </w:tr>
      <w:tr>
        <w:trPr/>
        <w:tc>
          <w:tcPr>
            <w:tcW w:w="9212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>
                <w:szCs w:val="24"/>
              </w:rPr>
              <w:t>Organizovat neformální otevřené pohovory se zaměstnanci, se skupinou zaměstnanců – podněty, názory, vize,..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>
                <w:szCs w:val="24"/>
              </w:rPr>
              <w:t xml:space="preserve">Průběžně </w:t>
            </w:r>
            <w:r>
              <w:rPr>
                <w:b/>
                <w:bCs/>
                <w:i/>
                <w:iCs/>
                <w:szCs w:val="24"/>
              </w:rPr>
              <w:t>vyhodnocovat účelnost školních řádů, vypracovat krizový plán</w:t>
            </w:r>
            <w:r>
              <w:rPr>
                <w:szCs w:val="24"/>
              </w:rPr>
              <w:t xml:space="preserve"> pro řešení problémů s dětmi, žáky, rodiči</w:t>
            </w:r>
          </w:p>
        </w:tc>
      </w:tr>
    </w:tbl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>OBLAST VZDĚLÁVÁNÍ</w:t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tbl>
      <w:tblPr>
        <w:tblStyle w:val="Mkatabulky"/>
        <w:tblW w:w="921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12"/>
      </w:tblGrid>
      <w:tr>
        <w:trPr/>
        <w:tc>
          <w:tcPr>
            <w:tcW w:w="9212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/>
              <w:t>Odbornou přípravou a kvalifikovanou prací pedagogů</w:t>
            </w:r>
            <w:r>
              <w:rPr>
                <w:b/>
                <w:bCs/>
                <w:i/>
                <w:iCs/>
              </w:rPr>
              <w:t xml:space="preserve"> zajistit rovné příležitosti pro žáky,</w:t>
            </w:r>
            <w:r>
              <w:rPr/>
              <w:t xml:space="preserve"> </w:t>
            </w:r>
            <w:r>
              <w:rPr>
                <w:b/>
                <w:bCs/>
                <w:i/>
                <w:iCs/>
              </w:rPr>
              <w:t>děti</w:t>
            </w:r>
            <w:r>
              <w:rPr>
                <w:b/>
                <w:bCs/>
                <w:i/>
                <w:iCs/>
                <w:u w:val="single"/>
              </w:rPr>
              <w:t>, individuální péče v rámci pedagogické intervence, doučování.</w:t>
            </w:r>
          </w:p>
        </w:tc>
      </w:tr>
      <w:tr>
        <w:trPr/>
        <w:tc>
          <w:tcPr>
            <w:tcW w:w="9212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/>
              <w:t xml:space="preserve">Prioritně se zaměřit na rozvoj čtenářské gramotnosti, matematické a finanční gramotnosti, sociální - etickou, informační – vyhledávání informací, komunikační schopnosti, komunikaci v cizím jazyce, přírodovědnou gramotnost, </w:t>
            </w:r>
            <w:r>
              <w:rPr>
                <w:b/>
                <w:bCs/>
                <w:i/>
                <w:iCs/>
              </w:rPr>
              <w:t>rozvoj práce s IT v</w:t>
            </w:r>
            <w:r>
              <w:rPr/>
              <w:t xml:space="preserve"> </w:t>
            </w:r>
            <w:r>
              <w:rPr>
                <w:b/>
                <w:bCs/>
                <w:i/>
                <w:iCs/>
              </w:rPr>
              <w:t>ZŠ i MŠ ( nástroje pro on-line výuku )</w:t>
            </w:r>
          </w:p>
        </w:tc>
      </w:tr>
      <w:tr>
        <w:trPr/>
        <w:tc>
          <w:tcPr>
            <w:tcW w:w="9212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/>
              <w:t>Evidovat žáky, děti s potřebou podpůrných opatření, zajišťovat účinnou individuální péči</w:t>
            </w:r>
            <w:r>
              <w:rPr>
                <w:b/>
                <w:u w:val="single"/>
              </w:rPr>
              <w:t>,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b w:val="false"/>
                <w:b w:val="false"/>
                <w:bCs w:val="false"/>
                <w:u w:val="none"/>
              </w:rPr>
            </w:pPr>
            <w:r>
              <w:rPr>
                <w:b w:val="false"/>
                <w:bCs w:val="false"/>
                <w:u w:val="none"/>
              </w:rPr>
              <w:t xml:space="preserve">v rámci doporučení ŠPZ, </w:t>
            </w:r>
            <w:r>
              <w:rPr>
                <w:b/>
                <w:bCs/>
                <w:i/>
                <w:iCs/>
                <w:u w:val="none"/>
              </w:rPr>
              <w:t>péče o děti s odkladem, s PO, aktualizovat program ŠPP, v MŠ – odpolední péče ( pokud dítě neusne )</w:t>
            </w:r>
          </w:p>
        </w:tc>
      </w:tr>
      <w:tr>
        <w:trPr/>
        <w:tc>
          <w:tcPr>
            <w:tcW w:w="9212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/>
              <w:t>Sledovat nabídky DVPP, sledovat zájem o osobní rozvoj pedagogů i provozních zaměstnanců, DVPP zaměřit na rozvoj školy a profesní rozvoj pedagogů</w:t>
            </w:r>
          </w:p>
        </w:tc>
      </w:tr>
      <w:tr>
        <w:trPr/>
        <w:tc>
          <w:tcPr>
            <w:tcW w:w="9212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/>
              <w:t xml:space="preserve">Sledovat a vyhodnocovat skladbu žáků a dětí ve škole, nastavit vhodnou strategii – metody a formy práce pro úspěšné zvládnutí výstupů v daném ročníku při dané skladbě žáků, dětí, </w:t>
            </w:r>
            <w:r>
              <w:rPr>
                <w:b/>
                <w:bCs/>
                <w:i/>
                <w:iCs/>
              </w:rPr>
              <w:t>respektovat věkové zvláštnosti ( poznatky z pedagogické psychologie,</w:t>
            </w:r>
            <w:r>
              <w:rPr/>
              <w:t xml:space="preserve"> </w:t>
            </w:r>
            <w:r>
              <w:rPr>
                <w:b/>
                <w:bCs/>
                <w:i/>
                <w:iCs/>
              </w:rPr>
              <w:t>psychosomatika, ADHD,..</w:t>
            </w:r>
          </w:p>
        </w:tc>
      </w:tr>
      <w:tr>
        <w:trPr/>
        <w:tc>
          <w:tcPr>
            <w:tcW w:w="9212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/>
              <w:t xml:space="preserve">Sledovat a vyhodnocovat důvody neprospěchu žáků, </w:t>
            </w:r>
            <w:r>
              <w:rPr>
                <w:b/>
                <w:bCs/>
                <w:i/>
                <w:iCs/>
              </w:rPr>
              <w:t>nastavit účinnou strategii</w:t>
            </w:r>
            <w:r>
              <w:rPr/>
              <w:t xml:space="preserve"> pro spolupráci s rodinou vedoucí k lepším výsledkům</w:t>
            </w:r>
          </w:p>
        </w:tc>
      </w:tr>
      <w:tr>
        <w:trPr/>
        <w:tc>
          <w:tcPr>
            <w:tcW w:w="9212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>
                <w:b/>
                <w:bCs/>
              </w:rPr>
              <w:t>Mapovat žáky s výchovnými – sociálními problémy, spolupracovat s PPP, SPC a SPC,</w:t>
            </w:r>
            <w:r>
              <w:rPr/>
              <w:t xml:space="preserve"> s rodinou žáka, poskytnou školní poradenskou péči – analýzu – pomoc – konzultaci,..</w:t>
            </w:r>
          </w:p>
        </w:tc>
      </w:tr>
      <w:tr>
        <w:trPr/>
        <w:tc>
          <w:tcPr>
            <w:tcW w:w="9212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/>
              <w:t>Konzultovat průběžně bezodkladně vzdělávací a výchovné problémy v rámci ped. týmu, společně hledat řešení pro nápravu ŠPP</w:t>
            </w:r>
          </w:p>
        </w:tc>
      </w:tr>
      <w:tr>
        <w:trPr/>
        <w:tc>
          <w:tcPr>
            <w:tcW w:w="9212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>
                <w:b/>
                <w:bCs/>
              </w:rPr>
              <w:t>Spolupracovat s rodinou dětí v MŠ v rámci konzultací, schůzek, předávání info materiálu</w:t>
            </w:r>
            <w:r>
              <w:rPr>
                <w:b/>
                <w:bCs/>
                <w:i/>
                <w:iCs/>
              </w:rPr>
              <w:t xml:space="preserve"> k předškolnímu vzdělávání a přípravě do 1.r.</w:t>
            </w:r>
            <w:r>
              <w:rPr/>
              <w:t>, plánovat celoroční spolupráci s ped. MŠ, rodinou – Šablony - EU</w:t>
            </w:r>
          </w:p>
        </w:tc>
      </w:tr>
      <w:tr>
        <w:trPr/>
        <w:tc>
          <w:tcPr>
            <w:tcW w:w="9212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/>
              <w:t>Sledovat požadavky ČSI, zapracovávat je do plánů</w:t>
            </w:r>
          </w:p>
        </w:tc>
      </w:tr>
      <w:tr>
        <w:trPr/>
        <w:tc>
          <w:tcPr>
            <w:tcW w:w="9212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Zaměřit se oblast sebehodnocení, na schopnost slovně vyjádřit osobní úspěšnost, popsat cíle zlepšení – i u dětí MŠ = osobnostní růst</w:t>
            </w:r>
          </w:p>
        </w:tc>
      </w:tr>
      <w:tr>
        <w:trPr/>
        <w:tc>
          <w:tcPr>
            <w:tcW w:w="9212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/>
              <w:t>Zkvalitňovat práci asistenta pedagoga a vyučujícího, průběžně vyhodnocovat úspěšnost i úskalí jejich spolupráce</w:t>
            </w:r>
          </w:p>
        </w:tc>
      </w:tr>
      <w:tr>
        <w:trPr/>
        <w:tc>
          <w:tcPr>
            <w:tcW w:w="9212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Školní i mimoškolní aktivity zaměřovat na oblasti, které jsou aktuální vzhledem k rozvoji žáků, dětí, společnosti, souvisí s obsahem učiva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>
                <w:b/>
                <w:bCs/>
                <w:i/>
                <w:iCs/>
              </w:rPr>
              <w:t>zaměřovat se na rozvoj žáků – dětí komplexně ve všech oborech – komplexní rozvoj osobnosti, nepreferovat jednu z oblastí, podpořit nadání dětí žáků v dané oblasti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>
                <w:b/>
                <w:bCs/>
                <w:i/>
                <w:iCs/>
              </w:rPr>
              <w:t>ŠVP ZV – úpravy obsahu učiva dle instrukcí vzhledem k dané situaci -DV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>
                <w:b/>
                <w:bCs/>
                <w:i/>
                <w:iCs/>
              </w:rPr>
              <w:t>Rozvoj sportovní činnosti – zájmové kroužky, soutěživá činnost, rozvoj tělesné zdatnosti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OBLAST SOCIÁLNÍ</w:t>
      </w:r>
    </w:p>
    <w:p>
      <w:pPr>
        <w:pStyle w:val="Normal"/>
        <w:rPr>
          <w:b/>
          <w:b/>
          <w:szCs w:val="24"/>
          <w:u w:val="single"/>
        </w:rPr>
      </w:pPr>
      <w:r>
        <w:rPr>
          <w:b/>
          <w:szCs w:val="24"/>
          <w:u w:val="single"/>
        </w:rPr>
      </w:r>
    </w:p>
    <w:tbl>
      <w:tblPr>
        <w:tblStyle w:val="Mkatabulky"/>
        <w:tblW w:w="921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12"/>
      </w:tblGrid>
      <w:tr>
        <w:trPr/>
        <w:tc>
          <w:tcPr>
            <w:tcW w:w="9212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szCs w:val="24"/>
              </w:rPr>
            </w:pPr>
            <w:r>
              <w:rPr>
                <w:szCs w:val="24"/>
              </w:rPr>
              <w:t>Vytvářet přátelskou atmosféru mezi dětmi, vyučujícími a žáky, mezi vyučujícími a ostatními zaměstnanci, mezi zaměstnanci školy a rodiči, ostatní veřejností</w:t>
            </w:r>
          </w:p>
        </w:tc>
      </w:tr>
      <w:tr>
        <w:trPr/>
        <w:tc>
          <w:tcPr>
            <w:tcW w:w="9212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Vést děti k pozitivnímu životu, k morálním hodnotám, k pozitivnímu vztahu k přírodě/ </w:t>
            </w:r>
            <w:r>
              <w:rPr>
                <w:b/>
                <w:bCs/>
                <w:i/>
                <w:iCs/>
                <w:szCs w:val="24"/>
              </w:rPr>
              <w:t>ekologické myšlení/,  k regionu, obci, k místu bydliště</w:t>
            </w:r>
          </w:p>
        </w:tc>
      </w:tr>
      <w:tr>
        <w:trPr/>
        <w:tc>
          <w:tcPr>
            <w:tcW w:w="9212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szCs w:val="24"/>
              </w:rPr>
            </w:pPr>
            <w:r>
              <w:rPr>
                <w:szCs w:val="24"/>
              </w:rPr>
              <w:t>Dbát na součinnost rodiny a školy, usilovat o soulad ve výchovné a vzdělávací sféře</w:t>
            </w:r>
          </w:p>
        </w:tc>
      </w:tr>
      <w:tr>
        <w:trPr/>
        <w:tc>
          <w:tcPr>
            <w:tcW w:w="9212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szCs w:val="24"/>
              </w:rPr>
            </w:pPr>
            <w:r>
              <w:rPr>
                <w:b/>
                <w:bCs/>
                <w:i/>
                <w:iCs/>
                <w:szCs w:val="24"/>
              </w:rPr>
              <w:t xml:space="preserve">Udržovat pozitivní vztahy s rodinou, 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Usilovat o pochopení ze strany rodiny, že </w:t>
            </w:r>
            <w:r>
              <w:rPr>
                <w:b/>
                <w:bCs/>
                <w:i/>
                <w:iCs/>
                <w:szCs w:val="24"/>
              </w:rPr>
              <w:t>škola má svá pravidla</w:t>
            </w:r>
          </w:p>
        </w:tc>
      </w:tr>
      <w:tr>
        <w:trPr>
          <w:trHeight w:val="356" w:hRule="atLeast"/>
        </w:trPr>
        <w:tc>
          <w:tcPr>
            <w:tcW w:w="9212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szCs w:val="24"/>
              </w:rPr>
            </w:pPr>
            <w:r>
              <w:rPr>
                <w:szCs w:val="24"/>
              </w:rPr>
              <w:t>Zohledňovat sociální, ekonomickou odlišnosti rodin</w:t>
            </w:r>
          </w:p>
        </w:tc>
      </w:tr>
      <w:tr>
        <w:trPr/>
        <w:tc>
          <w:tcPr>
            <w:tcW w:w="9212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szCs w:val="24"/>
              </w:rPr>
            </w:pPr>
            <w:r>
              <w:rPr>
                <w:szCs w:val="24"/>
              </w:rPr>
              <w:t>Poskytnout poradenskou službu rodičům, poradit v souvislosti s domácí přípravou,</w:t>
            </w:r>
          </w:p>
          <w:p>
            <w:pPr>
              <w:pStyle w:val="Normal"/>
              <w:spacing w:lineRule="auto" w:line="240" w:before="0" w:after="0"/>
              <w:ind w:left="720" w:hanging="0"/>
              <w:rPr/>
            </w:pPr>
            <w:r>
              <w:rPr>
                <w:szCs w:val="24"/>
              </w:rPr>
              <w:t xml:space="preserve">poskytnout odbornou literaturu, poskytnou rady při nápravě vývojových poruch, nepřístupného chování , vytvořit vztah založený na důvěře </w:t>
            </w:r>
            <w:r>
              <w:rPr>
                <w:b/>
                <w:bCs/>
                <w:i/>
                <w:iCs/>
                <w:szCs w:val="24"/>
              </w:rPr>
              <w:t xml:space="preserve"> ( PI, PSPP, doučování )</w:t>
            </w:r>
          </w:p>
        </w:tc>
      </w:tr>
      <w:tr>
        <w:trPr/>
        <w:tc>
          <w:tcPr>
            <w:tcW w:w="9212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>
                <w:szCs w:val="24"/>
              </w:rPr>
              <w:t xml:space="preserve">Spolupracovat s dalšími partnery při vytváření výchovně-vzdělávací činnosti – </w:t>
            </w:r>
            <w:r>
              <w:rPr>
                <w:b/>
                <w:bCs/>
                <w:i/>
                <w:iCs/>
                <w:szCs w:val="24"/>
              </w:rPr>
              <w:t>SPC,PPP,OSPOD, lékaři, ..</w:t>
            </w:r>
          </w:p>
        </w:tc>
      </w:tr>
      <w:tr>
        <w:trPr/>
        <w:tc>
          <w:tcPr>
            <w:tcW w:w="9212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>
                <w:szCs w:val="24"/>
              </w:rPr>
              <w:t>Aktivně vzájemně a nezaujatě / zaměstnanci – zřizovatel – rodiče / spolupracovat na podmínkách ke vzdělávání – ekonomika, bezpečnost, hygiena, estetika, údržba školy, okolí školy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>
                <w:b/>
                <w:bCs/>
                <w:i/>
                <w:iCs/>
                <w:szCs w:val="24"/>
              </w:rPr>
              <w:t>dítě a žák = strach ze školy, dítě žák nerad chodí do školy – hledat důvody, mluvit s dětmi, rodiči, hledat cesty k odstranění  nežádoucích pocitů – frustrace</w:t>
            </w:r>
          </w:p>
          <w:p>
            <w:pPr>
              <w:pStyle w:val="ListParagraph"/>
              <w:spacing w:lineRule="auto" w:line="240" w:before="0" w:after="0"/>
              <w:ind w:left="720" w:hanging="0"/>
              <w:contextualSpacing/>
              <w:rPr>
                <w:b/>
                <w:b/>
                <w:bCs/>
                <w:i/>
                <w:i/>
                <w:iCs/>
                <w:szCs w:val="24"/>
              </w:rPr>
            </w:pPr>
            <w:r>
              <w:rPr>
                <w:b/>
                <w:bCs/>
                <w:i/>
                <w:iCs/>
                <w:szCs w:val="24"/>
              </w:rPr>
            </w:r>
          </w:p>
        </w:tc>
      </w:tr>
    </w:tbl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OBLAST  PEDAGOGICKÁ</w:t>
      </w:r>
    </w:p>
    <w:p>
      <w:pPr>
        <w:pStyle w:val="Normal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rPr>
          <w:b/>
          <w:b/>
          <w:szCs w:val="24"/>
          <w:u w:val="single"/>
        </w:rPr>
      </w:pPr>
      <w:r>
        <w:rPr>
          <w:b/>
          <w:szCs w:val="24"/>
          <w:u w:val="single"/>
        </w:rPr>
      </w:r>
    </w:p>
    <w:tbl>
      <w:tblPr>
        <w:tblStyle w:val="Mkatabulky"/>
        <w:tblW w:w="921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12"/>
      </w:tblGrid>
      <w:tr>
        <w:trPr/>
        <w:tc>
          <w:tcPr>
            <w:tcW w:w="9212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>
                <w:szCs w:val="24"/>
              </w:rPr>
              <w:t xml:space="preserve">Podporovat dovednost samostatné práce, využívat ji i jako východisko vzdělání – </w:t>
            </w:r>
            <w:r>
              <w:rPr>
                <w:b/>
                <w:bCs/>
                <w:i/>
                <w:iCs/>
                <w:szCs w:val="24"/>
              </w:rPr>
              <w:t>používat takové prostředky, které „nahradí vyučujícího“ = samostatnost, tvořivost, rozvoj logiky a myšlení</w:t>
            </w:r>
          </w:p>
        </w:tc>
      </w:tr>
      <w:tr>
        <w:trPr/>
        <w:tc>
          <w:tcPr>
            <w:tcW w:w="9212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szCs w:val="24"/>
              </w:rPr>
            </w:pPr>
            <w:r>
              <w:rPr>
                <w:szCs w:val="24"/>
              </w:rPr>
              <w:t>Využívat alternativní postupy, metody a  při výuce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szCs w:val="24"/>
              </w:rPr>
            </w:pPr>
            <w:r>
              <w:rPr>
                <w:b/>
                <w:bCs/>
                <w:i/>
                <w:iCs/>
                <w:szCs w:val="24"/>
              </w:rPr>
              <w:t>Snaha o tvořivý přístup učitele „ metody vyhovující jednotlivci“</w:t>
            </w:r>
          </w:p>
        </w:tc>
      </w:tr>
      <w:tr>
        <w:trPr/>
        <w:tc>
          <w:tcPr>
            <w:tcW w:w="9212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Rozvíjet tvořivost žáků, rozvoj skupinové práce, rozvoj vzájemné práce žáků, rozvoj </w:t>
            </w:r>
            <w:r>
              <w:rPr>
                <w:b/>
                <w:bCs/>
                <w:i/>
                <w:iCs/>
                <w:szCs w:val="24"/>
              </w:rPr>
              <w:t>sebevzdělávání, komunikace, dialogu, práce s chybou, hodnocení a sebehodnocení</w:t>
            </w:r>
          </w:p>
        </w:tc>
      </w:tr>
      <w:tr>
        <w:trPr/>
        <w:tc>
          <w:tcPr>
            <w:tcW w:w="9212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>
                <w:szCs w:val="24"/>
              </w:rPr>
              <w:t xml:space="preserve">Zaměřit se prevenci rizikového chování, zajistit vhodné aktivity, programy = </w:t>
            </w:r>
            <w:r>
              <w:rPr>
                <w:b/>
                <w:bCs/>
                <w:i/>
                <w:iCs/>
                <w:szCs w:val="24"/>
              </w:rPr>
              <w:t>Kyberšikana a on – line, Šikana</w:t>
            </w:r>
          </w:p>
          <w:p>
            <w:pPr>
              <w:pStyle w:val="Normal"/>
              <w:spacing w:lineRule="auto" w:line="240" w:before="0" w:after="0"/>
              <w:ind w:left="360" w:hanging="0"/>
              <w:rPr>
                <w:szCs w:val="24"/>
              </w:rPr>
            </w:pPr>
            <w:r>
              <w:rPr>
                <w:szCs w:val="24"/>
              </w:rPr>
              <w:t>průběžně v týmu vyhledávat rizika neúspěchu při vzdělávání a nevhodného chování,</w:t>
            </w:r>
          </w:p>
          <w:p>
            <w:pPr>
              <w:pStyle w:val="Normal"/>
              <w:spacing w:lineRule="auto" w:line="240" w:before="0" w:after="0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9212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szCs w:val="24"/>
              </w:rPr>
            </w:pPr>
            <w:r>
              <w:rPr>
                <w:b/>
                <w:bCs/>
                <w:i/>
                <w:iCs/>
                <w:szCs w:val="24"/>
              </w:rPr>
              <w:t>Zohledňovat vzdělávací potřeby cizinců, zohlednit jazykovou bariéru</w:t>
            </w:r>
          </w:p>
        </w:tc>
      </w:tr>
      <w:tr>
        <w:trPr/>
        <w:tc>
          <w:tcPr>
            <w:tcW w:w="9212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Vytvářet příznivou pedagogickou atmosféru, založenou </w:t>
            </w:r>
            <w:r>
              <w:rPr>
                <w:b/>
                <w:bCs/>
                <w:i/>
                <w:iCs/>
                <w:szCs w:val="24"/>
              </w:rPr>
              <w:t>na respektu a úctě k vyučujícímu</w:t>
            </w:r>
          </w:p>
        </w:tc>
      </w:tr>
      <w:tr>
        <w:trPr/>
        <w:tc>
          <w:tcPr>
            <w:tcW w:w="9212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>
                <w:b/>
                <w:bCs/>
                <w:szCs w:val="24"/>
              </w:rPr>
              <w:t xml:space="preserve">Preventivně působit v oblasti </w:t>
            </w:r>
            <w:r>
              <w:rPr>
                <w:szCs w:val="24"/>
              </w:rPr>
              <w:t>vývojových poruch, logopedických obtíží, grafomotorických nedostatků, výchovných problémů, v oblasti rizikového chování, zaměřit se na komunikaci – v MŠ – již dříve</w:t>
            </w:r>
          </w:p>
        </w:tc>
      </w:tr>
      <w:tr>
        <w:trPr/>
        <w:tc>
          <w:tcPr>
            <w:tcW w:w="9212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b/>
                <w:b/>
                <w:bCs/>
              </w:rPr>
            </w:pPr>
            <w:r>
              <w:rPr>
                <w:b/>
                <w:bCs/>
                <w:szCs w:val="24"/>
              </w:rPr>
              <w:t>Podporovat udržení  vzdělávací linie-  rodina, MŠ, ZŠ, přechod na II.st ZŠ</w:t>
            </w:r>
          </w:p>
        </w:tc>
      </w:tr>
      <w:tr>
        <w:trPr/>
        <w:tc>
          <w:tcPr>
            <w:tcW w:w="9212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>
                <w:szCs w:val="24"/>
              </w:rPr>
              <w:t xml:space="preserve">Vytvořit nabídku volnočasových aktivit s ohledem na zájmy žáků, využití časového fondu školní družiny – </w:t>
            </w:r>
            <w:r>
              <w:rPr>
                <w:b/>
                <w:bCs/>
                <w:szCs w:val="24"/>
              </w:rPr>
              <w:t>zdravotní problematika, bezpečnost</w:t>
            </w:r>
          </w:p>
        </w:tc>
      </w:tr>
      <w:tr>
        <w:trPr/>
        <w:tc>
          <w:tcPr>
            <w:tcW w:w="9212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szCs w:val="24"/>
              </w:rPr>
            </w:pPr>
            <w:r>
              <w:rPr>
                <w:szCs w:val="24"/>
              </w:rPr>
              <w:t>Poskytovat vhodnou inovovanou pedagogickou – psychologickou literaturu k DVVP</w:t>
            </w:r>
          </w:p>
        </w:tc>
      </w:tr>
      <w:tr>
        <w:trPr/>
        <w:tc>
          <w:tcPr>
            <w:tcW w:w="9212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>
                <w:szCs w:val="24"/>
              </w:rPr>
              <w:t xml:space="preserve">Zajistit vhodné DVVP, konzultace v oblasti práce ve výuce mezi pedagogy, najít </w:t>
            </w:r>
            <w:r>
              <w:rPr>
                <w:b/>
                <w:bCs/>
                <w:i/>
                <w:iCs/>
                <w:szCs w:val="24"/>
              </w:rPr>
              <w:t>vhodnou partnerskou školu ke spolupráci – k učení se pedagogů navzájem</w:t>
            </w:r>
            <w:r>
              <w:rPr>
                <w:szCs w:val="24"/>
              </w:rPr>
              <w:t xml:space="preserve"> – Šablony – EU, i v ZŠ</w:t>
            </w:r>
          </w:p>
        </w:tc>
      </w:tr>
      <w:tr>
        <w:trPr/>
        <w:tc>
          <w:tcPr>
            <w:tcW w:w="9212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szCs w:val="24"/>
              </w:rPr>
            </w:pPr>
            <w:r>
              <w:rPr>
                <w:szCs w:val="24"/>
              </w:rPr>
              <w:t>Dbát na důsledné dodržování ŠŘ – vytvořit účinný systém informovanosti o neplnění školních povinností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>
                <w:b/>
                <w:bCs/>
                <w:i/>
                <w:iCs/>
                <w:szCs w:val="24"/>
              </w:rPr>
              <w:t xml:space="preserve">Preventivně působit na nevhodné chování </w:t>
            </w:r>
            <w:r>
              <w:rPr>
                <w:szCs w:val="24"/>
              </w:rPr>
              <w:t>– formou celoškolních aktivit, MPP programů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>
                <w:b/>
                <w:bCs/>
                <w:szCs w:val="24"/>
              </w:rPr>
              <w:t xml:space="preserve">Aktualizace MPP plánu a plánu krizového </w:t>
            </w:r>
            <w:r>
              <w:rPr>
                <w:szCs w:val="24"/>
              </w:rPr>
              <w:t>podle potřeb školy</w:t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OBLAST MATERIÁLNĚ TECHNICKÁ, ekonomická</w:t>
      </w:r>
    </w:p>
    <w:p>
      <w:pPr>
        <w:pStyle w:val="Normal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tbl>
      <w:tblPr>
        <w:tblStyle w:val="Mkatabulky"/>
        <w:tblW w:w="943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437"/>
      </w:tblGrid>
      <w:tr>
        <w:trPr>
          <w:trHeight w:val="268" w:hRule="atLeast"/>
        </w:trPr>
        <w:tc>
          <w:tcPr>
            <w:tcW w:w="943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szCs w:val="24"/>
              </w:rPr>
            </w:pPr>
            <w:r>
              <w:rPr>
                <w:b/>
                <w:bCs/>
                <w:i/>
                <w:iCs/>
                <w:szCs w:val="24"/>
              </w:rPr>
              <w:t>Zkvalitňovat vybavení tříd a dbát na estetizaci školy</w:t>
            </w:r>
          </w:p>
        </w:tc>
      </w:tr>
      <w:tr>
        <w:trPr>
          <w:trHeight w:val="268" w:hRule="atLeast"/>
        </w:trPr>
        <w:tc>
          <w:tcPr>
            <w:tcW w:w="943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>
                <w:b/>
                <w:bCs/>
                <w:szCs w:val="24"/>
              </w:rPr>
              <w:t xml:space="preserve">Určovat priority ve </w:t>
            </w:r>
            <w:r>
              <w:rPr>
                <w:szCs w:val="24"/>
              </w:rPr>
              <w:t>vybavenosti školy</w:t>
            </w:r>
          </w:p>
        </w:tc>
      </w:tr>
      <w:tr>
        <w:trPr>
          <w:trHeight w:val="268" w:hRule="atLeast"/>
        </w:trPr>
        <w:tc>
          <w:tcPr>
            <w:tcW w:w="943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szCs w:val="24"/>
              </w:rPr>
            </w:pPr>
            <w:r>
              <w:rPr>
                <w:szCs w:val="24"/>
              </w:rPr>
              <w:t>Zajišťovat bezpečné školní prostředí</w:t>
            </w:r>
          </w:p>
        </w:tc>
      </w:tr>
      <w:tr>
        <w:trPr>
          <w:trHeight w:val="551" w:hRule="atLeast"/>
        </w:trPr>
        <w:tc>
          <w:tcPr>
            <w:tcW w:w="943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>
                <w:szCs w:val="24"/>
              </w:rPr>
              <w:t xml:space="preserve">Doplňovat vybavení školy potřebami a pomůckami pro názornost a efektivitu výuky, aktualizovat učebnice a učební pomůcky </w:t>
            </w:r>
            <w:r>
              <w:rPr>
                <w:b/>
                <w:bCs/>
                <w:i/>
                <w:iCs/>
                <w:szCs w:val="24"/>
              </w:rPr>
              <w:t>( pomůcky pro učení se všemi smysly zejména pro děti s PO, žáky nadané )</w:t>
            </w:r>
          </w:p>
        </w:tc>
      </w:tr>
      <w:tr>
        <w:trPr>
          <w:trHeight w:val="268" w:hRule="atLeast"/>
        </w:trPr>
        <w:tc>
          <w:tcPr>
            <w:tcW w:w="943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b/>
                <w:b/>
                <w:bCs/>
                <w:u w:val="single"/>
              </w:rPr>
            </w:pPr>
            <w:r>
              <w:rPr>
                <w:b/>
                <w:bCs/>
                <w:szCs w:val="24"/>
                <w:u w:val="single"/>
              </w:rPr>
              <w:t>Zajistit obnovu ICT vybavenosti, posílení IT techniky pro děti, žáky a vyučující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b/>
                <w:b/>
                <w:bCs/>
                <w:u w:val="single"/>
              </w:rPr>
            </w:pPr>
            <w:r>
              <w:rPr>
                <w:b/>
                <w:bCs/>
                <w:szCs w:val="24"/>
                <w:u w:val="single"/>
              </w:rPr>
              <w:t>zajistit IT pomůcky . Interaktivní učebnice, výukové programy – on- line výuka</w:t>
            </w:r>
          </w:p>
        </w:tc>
      </w:tr>
      <w:tr>
        <w:trPr>
          <w:trHeight w:val="268" w:hRule="atLeast"/>
        </w:trPr>
        <w:tc>
          <w:tcPr>
            <w:tcW w:w="943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szCs w:val="24"/>
              </w:rPr>
            </w:pPr>
            <w:r>
              <w:rPr>
                <w:szCs w:val="24"/>
              </w:rPr>
              <w:t>Získávat sponzory</w:t>
            </w:r>
          </w:p>
        </w:tc>
      </w:tr>
      <w:tr>
        <w:trPr>
          <w:trHeight w:val="268" w:hRule="atLeast"/>
        </w:trPr>
        <w:tc>
          <w:tcPr>
            <w:tcW w:w="943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szCs w:val="24"/>
              </w:rPr>
            </w:pPr>
            <w:r>
              <w:rPr>
                <w:b/>
                <w:bCs/>
                <w:i/>
                <w:iCs/>
                <w:szCs w:val="24"/>
              </w:rPr>
              <w:t>Využít EU fondů, projektů vyhlášených MŠMT</w:t>
            </w:r>
          </w:p>
        </w:tc>
      </w:tr>
      <w:tr>
        <w:trPr>
          <w:trHeight w:val="268" w:hRule="atLeast"/>
        </w:trPr>
        <w:tc>
          <w:tcPr>
            <w:tcW w:w="943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szCs w:val="24"/>
              </w:rPr>
            </w:pPr>
            <w:r>
              <w:rPr>
                <w:szCs w:val="24"/>
              </w:rPr>
              <w:t>Dbát na opravu a vzhled budov, systematicky plánovat opravy ve spolupráci s obcí</w:t>
            </w:r>
          </w:p>
        </w:tc>
      </w:tr>
      <w:tr>
        <w:trPr>
          <w:trHeight w:val="268" w:hRule="atLeast"/>
        </w:trPr>
        <w:tc>
          <w:tcPr>
            <w:tcW w:w="943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Úsporně hospodařit s dotacemi z obce, </w:t>
            </w:r>
            <w:r>
              <w:rPr>
                <w:b/>
                <w:bCs/>
                <w:i/>
                <w:iCs/>
                <w:szCs w:val="24"/>
              </w:rPr>
              <w:t xml:space="preserve">získávat kladný výsledek hospodaření  </w:t>
            </w:r>
          </w:p>
        </w:tc>
      </w:tr>
      <w:tr>
        <w:trPr>
          <w:trHeight w:val="283" w:hRule="atLeast"/>
        </w:trPr>
        <w:tc>
          <w:tcPr>
            <w:tcW w:w="943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>
                <w:szCs w:val="24"/>
              </w:rPr>
              <w:t>Nabídnout MŠ využití PC a tělocvičny, keramické pece</w:t>
            </w:r>
          </w:p>
        </w:tc>
      </w:tr>
      <w:tr>
        <w:trPr>
          <w:trHeight w:val="283" w:hRule="atLeast"/>
        </w:trPr>
        <w:tc>
          <w:tcPr>
            <w:tcW w:w="9437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>
                <w:szCs w:val="24"/>
              </w:rPr>
              <w:t>Vyklidit školní prostory, kde se shromažďují zastaralé věci, vytvořit škoní systém ukládání potřeb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  <w:szCs w:val="24"/>
              </w:rPr>
              <w:t>Školní jídelny – dbát na rozvoj zdravého školního stravování – potravinový koš, výživové hodnoty</w:t>
            </w:r>
          </w:p>
        </w:tc>
      </w:tr>
    </w:tbl>
    <w:p>
      <w:pPr>
        <w:pStyle w:val="Normal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Konkrétní kroky</w:t>
      </w:r>
    </w:p>
    <w:tbl>
      <w:tblPr>
        <w:tblStyle w:val="Mkatabulky2"/>
        <w:tblW w:w="921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70"/>
        <w:gridCol w:w="2441"/>
      </w:tblGrid>
      <w:tr>
        <w:trPr>
          <w:trHeight w:val="469" w:hRule="atLeast"/>
        </w:trPr>
        <w:tc>
          <w:tcPr>
            <w:tcW w:w="6770" w:type="dxa"/>
            <w:tcBorders/>
            <w:shd w:fill="auto" w:val="clear"/>
          </w:tcPr>
          <w:p>
            <w:pPr>
              <w:pStyle w:val="Normal"/>
              <w:overflowPunct w:val="false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b/>
                <w:b/>
                <w:sz w:val="32"/>
                <w:szCs w:val="32"/>
                <w:lang w:eastAsia="en-US"/>
              </w:rPr>
            </w:pPr>
            <w:r>
              <w:rPr>
                <w:rFonts w:eastAsia="Calibri" w:cs="" w:ascii="Calibri" w:hAnsi="Calibri" w:asciiTheme="minorHAnsi" w:cstheme="minorBidi" w:eastAsiaTheme="minorHAnsi" w:hAnsiTheme="minorHAnsi"/>
                <w:b/>
                <w:sz w:val="32"/>
                <w:szCs w:val="32"/>
                <w:lang w:eastAsia="en-US"/>
              </w:rPr>
              <w:t>Základní škola</w:t>
            </w:r>
          </w:p>
        </w:tc>
        <w:tc>
          <w:tcPr>
            <w:tcW w:w="2441" w:type="dxa"/>
            <w:tcBorders/>
            <w:shd w:fill="auto" w:val="clear"/>
          </w:tcPr>
          <w:p>
            <w:pPr>
              <w:pStyle w:val="Normal"/>
              <w:overflowPunct w:val="false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Cs w:val="24"/>
                <w:lang w:eastAsia="en-US"/>
              </w:rPr>
            </w:pPr>
            <w:r>
              <w:rPr>
                <w:rFonts w:eastAsia="Calibri" w:cs="" w:cstheme="minorBidi" w:eastAsiaTheme="minorHAnsi" w:ascii="Calibri" w:hAnsi="Calibri"/>
                <w:szCs w:val="24"/>
                <w:lang w:eastAsia="en-US"/>
              </w:rPr>
            </w:r>
          </w:p>
        </w:tc>
      </w:tr>
      <w:tr>
        <w:trPr>
          <w:trHeight w:val="432" w:hRule="atLeast"/>
        </w:trPr>
        <w:tc>
          <w:tcPr>
            <w:tcW w:w="6770" w:type="dxa"/>
            <w:tcBorders/>
            <w:shd w:fill="auto" w:val="clear"/>
          </w:tcPr>
          <w:p>
            <w:pPr>
              <w:pStyle w:val="Normal"/>
              <w:overflowPunct w:val="false"/>
              <w:spacing w:lineRule="auto" w:line="240" w:before="0" w:after="0"/>
              <w:rPr>
                <w:rFonts w:ascii="Calibri" w:hAnsi="Calibri" w:eastAsia="Calibri" w:cs="" w:asciiTheme="minorHAnsi" w:cstheme="minorBidi" w:eastAsiaTheme="minorHAnsi" w:hAnsiTheme="minorHAnsi"/>
                <w:i/>
                <w:i/>
                <w:szCs w:val="24"/>
                <w:lang w:eastAsia="en-US"/>
              </w:rPr>
            </w:pPr>
            <w:r>
              <w:rPr>
                <w:rFonts w:eastAsia="Calibri" w:cs="" w:ascii="Calibri" w:hAnsi="Calibri" w:asciiTheme="minorHAnsi" w:cstheme="minorBidi" w:eastAsiaTheme="minorHAnsi" w:hAnsiTheme="minorHAnsi"/>
                <w:i/>
                <w:szCs w:val="24"/>
                <w:lang w:eastAsia="en-US"/>
              </w:rPr>
              <w:t>Místnost pro pohybové aktivity</w:t>
            </w:r>
          </w:p>
        </w:tc>
        <w:tc>
          <w:tcPr>
            <w:tcW w:w="2441" w:type="dxa"/>
            <w:tcBorders/>
            <w:shd w:fill="auto" w:val="clear"/>
          </w:tcPr>
          <w:p>
            <w:pPr>
              <w:pStyle w:val="Normal"/>
              <w:overflowPunct w:val="false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Cs w:val="24"/>
                <w:lang w:eastAsia="en-US"/>
              </w:rPr>
            </w:pPr>
            <w:r>
              <w:rPr>
                <w:rFonts w:eastAsia="Calibri" w:cs="" w:cstheme="minorBidi" w:eastAsiaTheme="minorHAnsi" w:ascii="Calibri" w:hAnsi="Calibri"/>
                <w:szCs w:val="24"/>
                <w:lang w:eastAsia="en-US"/>
              </w:rPr>
            </w:r>
          </w:p>
        </w:tc>
      </w:tr>
      <w:tr>
        <w:trPr/>
        <w:tc>
          <w:tcPr>
            <w:tcW w:w="6770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overflowPunct w:val="false"/>
              <w:spacing w:lineRule="auto" w:line="240" w:before="0" w:after="0"/>
              <w:contextualSpacing/>
              <w:rPr/>
            </w:pPr>
            <w:r>
              <w:rPr>
                <w:rFonts w:eastAsia="Calibri" w:cs="" w:ascii="Calibri" w:hAnsi="Calibri" w:asciiTheme="minorHAnsi" w:cstheme="minorBidi" w:eastAsiaTheme="minorHAnsi" w:hAnsiTheme="minorHAnsi"/>
                <w:szCs w:val="24"/>
                <w:lang w:eastAsia="en-US"/>
              </w:rPr>
              <w:t>Sítě do oken</w:t>
            </w:r>
          </w:p>
        </w:tc>
        <w:tc>
          <w:tcPr>
            <w:tcW w:w="2441" w:type="dxa"/>
            <w:tcBorders/>
            <w:shd w:fill="auto" w:val="clear"/>
          </w:tcPr>
          <w:p>
            <w:pPr>
              <w:pStyle w:val="Normal"/>
              <w:overflowPunct w:val="false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Cs w:val="24"/>
                <w:lang w:eastAsia="en-US"/>
              </w:rPr>
            </w:pPr>
            <w:r>
              <w:rPr>
                <w:rFonts w:eastAsia="Calibri" w:cs="" w:cstheme="minorBidi" w:eastAsiaTheme="minorHAnsi" w:ascii="Calibri" w:hAnsi="Calibri"/>
                <w:szCs w:val="24"/>
                <w:lang w:eastAsia="en-US"/>
              </w:rPr>
            </w:r>
          </w:p>
        </w:tc>
      </w:tr>
      <w:tr>
        <w:trPr/>
        <w:tc>
          <w:tcPr>
            <w:tcW w:w="6770" w:type="dxa"/>
            <w:tcBorders/>
            <w:shd w:fill="auto" w:val="clear"/>
          </w:tcPr>
          <w:p>
            <w:pPr>
              <w:pStyle w:val="Normal"/>
              <w:overflowPunct w:val="false"/>
              <w:spacing w:lineRule="auto" w:line="240" w:before="0" w:after="0"/>
              <w:rPr>
                <w:rFonts w:ascii="Calibri" w:hAnsi="Calibri" w:eastAsia="Calibri" w:cs="" w:asciiTheme="minorHAnsi" w:cstheme="minorBidi" w:eastAsiaTheme="minorHAnsi" w:hAnsiTheme="minorHAnsi"/>
                <w:i/>
                <w:i/>
                <w:szCs w:val="24"/>
                <w:lang w:eastAsia="en-US"/>
              </w:rPr>
            </w:pPr>
            <w:r>
              <w:rPr>
                <w:rFonts w:eastAsia="Calibri" w:cs="" w:ascii="Calibri" w:hAnsi="Calibri" w:asciiTheme="minorHAnsi" w:cstheme="minorBidi" w:eastAsiaTheme="minorHAnsi" w:hAnsiTheme="minorHAnsi"/>
                <w:i/>
                <w:szCs w:val="24"/>
                <w:lang w:eastAsia="en-US"/>
              </w:rPr>
              <w:t>Šatna</w:t>
            </w:r>
          </w:p>
        </w:tc>
        <w:tc>
          <w:tcPr>
            <w:tcW w:w="2441" w:type="dxa"/>
            <w:tcBorders/>
            <w:shd w:fill="auto" w:val="clear"/>
          </w:tcPr>
          <w:p>
            <w:pPr>
              <w:pStyle w:val="Normal"/>
              <w:overflowPunct w:val="false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Cs w:val="24"/>
                <w:lang w:eastAsia="en-US"/>
              </w:rPr>
            </w:pPr>
            <w:r>
              <w:rPr>
                <w:rFonts w:eastAsia="Calibri" w:cs="" w:cstheme="minorBidi" w:eastAsiaTheme="minorHAnsi" w:ascii="Calibri" w:hAnsi="Calibri"/>
                <w:szCs w:val="24"/>
                <w:lang w:eastAsia="en-US"/>
              </w:rPr>
            </w:r>
          </w:p>
        </w:tc>
      </w:tr>
      <w:tr>
        <w:trPr/>
        <w:tc>
          <w:tcPr>
            <w:tcW w:w="6770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overflowPunct w:val="false"/>
              <w:spacing w:lineRule="auto" w:line="240" w:before="0" w:after="0"/>
              <w:contextualSpacing/>
              <w:rPr/>
            </w:pPr>
            <w:r>
              <w:rPr>
                <w:rFonts w:eastAsia="Calibri" w:cs="" w:ascii="Calibri" w:hAnsi="Calibri" w:asciiTheme="minorHAnsi" w:cstheme="minorBidi" w:eastAsiaTheme="minorHAnsi" w:hAnsiTheme="minorHAnsi"/>
                <w:szCs w:val="24"/>
                <w:lang w:eastAsia="en-US"/>
              </w:rPr>
              <w:t>kryty radiátorů, nová podlaha, výmalba</w:t>
            </w:r>
          </w:p>
        </w:tc>
        <w:tc>
          <w:tcPr>
            <w:tcW w:w="2441" w:type="dxa"/>
            <w:tcBorders/>
            <w:shd w:fill="auto" w:val="clear"/>
          </w:tcPr>
          <w:p>
            <w:pPr>
              <w:pStyle w:val="Normal"/>
              <w:overflowPunct w:val="false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Cs w:val="24"/>
                <w:lang w:eastAsia="en-US"/>
              </w:rPr>
            </w:pPr>
            <w:r>
              <w:rPr>
                <w:rFonts w:eastAsia="Calibri" w:cs="" w:cstheme="minorBidi" w:eastAsiaTheme="minorHAnsi" w:ascii="Calibri" w:hAnsi="Calibri"/>
                <w:szCs w:val="24"/>
                <w:lang w:eastAsia="en-US"/>
              </w:rPr>
            </w:r>
          </w:p>
        </w:tc>
      </w:tr>
      <w:tr>
        <w:trPr/>
        <w:tc>
          <w:tcPr>
            <w:tcW w:w="6770" w:type="dxa"/>
            <w:tcBorders/>
            <w:shd w:fill="auto" w:val="clear"/>
          </w:tcPr>
          <w:p>
            <w:pPr>
              <w:pStyle w:val="Normal"/>
              <w:overflowPunct w:val="false"/>
              <w:spacing w:lineRule="auto" w:line="240" w:before="0" w:after="0"/>
              <w:rPr>
                <w:rFonts w:ascii="Calibri" w:hAnsi="Calibri" w:eastAsia="Calibri" w:cs="" w:asciiTheme="minorHAnsi" w:cstheme="minorBidi" w:eastAsiaTheme="minorHAnsi" w:hAnsiTheme="minorHAnsi"/>
                <w:i/>
                <w:i/>
                <w:szCs w:val="24"/>
                <w:lang w:eastAsia="en-US"/>
              </w:rPr>
            </w:pPr>
            <w:r>
              <w:rPr>
                <w:rFonts w:eastAsia="Calibri" w:cs="" w:ascii="Calibri" w:hAnsi="Calibri" w:asciiTheme="minorHAnsi" w:cstheme="minorBidi" w:eastAsiaTheme="minorHAnsi" w:hAnsiTheme="minorHAnsi"/>
                <w:i/>
                <w:szCs w:val="24"/>
                <w:lang w:eastAsia="en-US"/>
              </w:rPr>
              <w:t>Chodba</w:t>
            </w:r>
          </w:p>
        </w:tc>
        <w:tc>
          <w:tcPr>
            <w:tcW w:w="2441" w:type="dxa"/>
            <w:tcBorders/>
            <w:shd w:fill="auto" w:val="clear"/>
          </w:tcPr>
          <w:p>
            <w:pPr>
              <w:pStyle w:val="Normal"/>
              <w:overflowPunct w:val="false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Cs w:val="24"/>
                <w:lang w:eastAsia="en-US"/>
              </w:rPr>
            </w:pPr>
            <w:r>
              <w:rPr>
                <w:rFonts w:eastAsia="Calibri" w:cs="" w:cstheme="minorBidi" w:eastAsiaTheme="minorHAnsi" w:ascii="Calibri" w:hAnsi="Calibri"/>
                <w:szCs w:val="24"/>
                <w:lang w:eastAsia="en-US"/>
              </w:rPr>
            </w:r>
          </w:p>
        </w:tc>
      </w:tr>
      <w:tr>
        <w:trPr/>
        <w:tc>
          <w:tcPr>
            <w:tcW w:w="6770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overflowPunct w:val="false"/>
              <w:spacing w:lineRule="auto" w:line="240" w:before="0" w:after="0"/>
              <w:contextualSpacing/>
              <w:rPr>
                <w:rFonts w:ascii="Calibri" w:hAnsi="Calibri" w:eastAsia="Calibri" w:cs="" w:asciiTheme="minorHAnsi" w:cstheme="minorBidi" w:eastAsiaTheme="minorHAnsi" w:hAnsiTheme="minorHAnsi"/>
                <w:szCs w:val="24"/>
                <w:lang w:eastAsia="en-US"/>
              </w:rPr>
            </w:pPr>
            <w:r>
              <w:rPr>
                <w:rFonts w:eastAsia="Calibri" w:cs="" w:ascii="Calibri" w:hAnsi="Calibri" w:asciiTheme="minorHAnsi" w:cstheme="minorBidi" w:eastAsiaTheme="minorHAnsi" w:hAnsiTheme="minorHAnsi"/>
                <w:szCs w:val="24"/>
                <w:lang w:eastAsia="en-US"/>
              </w:rPr>
              <w:t>Výmalba, odstranění obložení, oprava soklu  - kachličky, oprava – výměna dlažby</w:t>
            </w:r>
          </w:p>
        </w:tc>
        <w:tc>
          <w:tcPr>
            <w:tcW w:w="2441" w:type="dxa"/>
            <w:tcBorders/>
            <w:shd w:fill="auto" w:val="clear"/>
          </w:tcPr>
          <w:p>
            <w:pPr>
              <w:pStyle w:val="Normal"/>
              <w:overflowPunct w:val="false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Cs w:val="24"/>
                <w:lang w:eastAsia="en-US"/>
              </w:rPr>
            </w:pPr>
            <w:r>
              <w:rPr>
                <w:rFonts w:eastAsia="Calibri" w:cs="" w:cstheme="minorBidi" w:eastAsiaTheme="minorHAnsi" w:ascii="Calibri" w:hAnsi="Calibri"/>
                <w:szCs w:val="24"/>
                <w:lang w:eastAsia="en-US"/>
              </w:rPr>
            </w:r>
          </w:p>
        </w:tc>
      </w:tr>
      <w:tr>
        <w:trPr/>
        <w:tc>
          <w:tcPr>
            <w:tcW w:w="6770" w:type="dxa"/>
            <w:tcBorders/>
            <w:shd w:fill="auto" w:val="clear"/>
          </w:tcPr>
          <w:p>
            <w:pPr>
              <w:pStyle w:val="Normal"/>
              <w:overflowPunct w:val="false"/>
              <w:spacing w:lineRule="auto" w:line="240" w:before="0" w:after="0"/>
              <w:rPr>
                <w:rFonts w:ascii="Calibri" w:hAnsi="Calibri" w:eastAsia="Calibri" w:cs="" w:asciiTheme="minorHAnsi" w:cstheme="minorBidi" w:eastAsiaTheme="minorHAnsi" w:hAnsiTheme="minorHAnsi"/>
                <w:b/>
                <w:b/>
                <w:i/>
                <w:i/>
                <w:sz w:val="32"/>
                <w:szCs w:val="32"/>
                <w:lang w:eastAsia="en-US"/>
              </w:rPr>
            </w:pPr>
            <w:r>
              <w:rPr>
                <w:rFonts w:eastAsia="Calibri" w:cs="" w:ascii="Calibri" w:hAnsi="Calibri" w:asciiTheme="minorHAnsi" w:cstheme="minorBidi" w:eastAsiaTheme="minorHAnsi" w:hAnsiTheme="minorHAnsi"/>
                <w:b/>
                <w:i/>
                <w:sz w:val="32"/>
                <w:szCs w:val="32"/>
                <w:lang w:eastAsia="en-US"/>
              </w:rPr>
              <w:t>ŠD</w:t>
            </w:r>
          </w:p>
        </w:tc>
        <w:tc>
          <w:tcPr>
            <w:tcW w:w="2441" w:type="dxa"/>
            <w:tcBorders/>
            <w:shd w:fill="auto" w:val="clear"/>
          </w:tcPr>
          <w:p>
            <w:pPr>
              <w:pStyle w:val="Normal"/>
              <w:overflowPunct w:val="false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Cs w:val="24"/>
                <w:lang w:eastAsia="en-US"/>
              </w:rPr>
            </w:pPr>
            <w:r>
              <w:rPr>
                <w:rFonts w:eastAsia="Calibri" w:cs="" w:cstheme="minorBidi" w:eastAsiaTheme="minorHAnsi" w:ascii="Calibri" w:hAnsi="Calibri"/>
                <w:szCs w:val="24"/>
                <w:lang w:eastAsia="en-US"/>
              </w:rPr>
            </w:r>
          </w:p>
        </w:tc>
      </w:tr>
      <w:tr>
        <w:trPr/>
        <w:tc>
          <w:tcPr>
            <w:tcW w:w="6770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overflowPunct w:val="false"/>
              <w:spacing w:lineRule="auto" w:line="240" w:before="0" w:after="0"/>
              <w:contextualSpacing/>
              <w:rPr/>
            </w:pPr>
            <w:r>
              <w:rPr>
                <w:rFonts w:eastAsia="Calibri" w:cs="" w:ascii="Calibri" w:hAnsi="Calibri" w:asciiTheme="minorHAnsi" w:cstheme="minorBidi" w:eastAsiaTheme="minorHAnsi" w:hAnsiTheme="minorHAnsi"/>
                <w:szCs w:val="24"/>
                <w:lang w:eastAsia="en-US"/>
              </w:rPr>
              <w:t>parapety</w:t>
            </w:r>
          </w:p>
        </w:tc>
        <w:tc>
          <w:tcPr>
            <w:tcW w:w="2441" w:type="dxa"/>
            <w:tcBorders/>
            <w:shd w:fill="auto" w:val="clear"/>
          </w:tcPr>
          <w:p>
            <w:pPr>
              <w:pStyle w:val="Normal"/>
              <w:overflowPunct w:val="false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Cs w:val="24"/>
                <w:lang w:eastAsia="en-US"/>
              </w:rPr>
            </w:pPr>
            <w:r>
              <w:rPr>
                <w:rFonts w:eastAsia="Calibri" w:cs="" w:cstheme="minorBidi" w:eastAsiaTheme="minorHAnsi" w:ascii="Calibri" w:hAnsi="Calibri"/>
                <w:szCs w:val="24"/>
                <w:lang w:eastAsia="en-US"/>
              </w:rPr>
            </w:r>
          </w:p>
        </w:tc>
      </w:tr>
      <w:tr>
        <w:trPr/>
        <w:tc>
          <w:tcPr>
            <w:tcW w:w="6770" w:type="dxa"/>
            <w:tcBorders/>
            <w:shd w:fill="auto" w:val="clear"/>
          </w:tcPr>
          <w:p>
            <w:pPr>
              <w:pStyle w:val="Normal"/>
              <w:overflowPunct w:val="false"/>
              <w:spacing w:lineRule="auto" w:line="240" w:before="0" w:after="0"/>
              <w:rPr>
                <w:rFonts w:ascii="Calibri" w:hAnsi="Calibri" w:eastAsia="Calibri" w:cs="" w:asciiTheme="minorHAnsi" w:cstheme="minorBidi" w:eastAsiaTheme="minorHAnsi" w:hAnsiTheme="minorHAnsi"/>
                <w:i/>
                <w:i/>
                <w:szCs w:val="24"/>
                <w:lang w:eastAsia="en-US"/>
              </w:rPr>
            </w:pPr>
            <w:r>
              <w:rPr>
                <w:rFonts w:eastAsia="Calibri" w:cs="" w:ascii="Calibri" w:hAnsi="Calibri" w:asciiTheme="minorHAnsi" w:cstheme="minorBidi" w:eastAsiaTheme="minorHAnsi" w:hAnsiTheme="minorHAnsi"/>
                <w:i/>
                <w:szCs w:val="24"/>
                <w:lang w:eastAsia="en-US"/>
              </w:rPr>
              <w:t>Kabinet</w:t>
            </w:r>
          </w:p>
        </w:tc>
        <w:tc>
          <w:tcPr>
            <w:tcW w:w="2441" w:type="dxa"/>
            <w:tcBorders/>
            <w:shd w:fill="auto" w:val="clear"/>
          </w:tcPr>
          <w:p>
            <w:pPr>
              <w:pStyle w:val="Normal"/>
              <w:overflowPunct w:val="false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Cs w:val="24"/>
                <w:lang w:eastAsia="en-US"/>
              </w:rPr>
            </w:pPr>
            <w:r>
              <w:rPr>
                <w:rFonts w:eastAsia="Calibri" w:cs="" w:cstheme="minorBidi" w:eastAsiaTheme="minorHAnsi" w:ascii="Calibri" w:hAnsi="Calibri"/>
                <w:szCs w:val="24"/>
                <w:lang w:eastAsia="en-US"/>
              </w:rPr>
            </w:r>
          </w:p>
        </w:tc>
      </w:tr>
      <w:tr>
        <w:trPr/>
        <w:tc>
          <w:tcPr>
            <w:tcW w:w="6770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overflowPunct w:val="false"/>
              <w:spacing w:lineRule="auto" w:line="240" w:before="0" w:after="0"/>
              <w:ind w:left="720" w:hanging="0"/>
              <w:contextualSpacing/>
              <w:jc w:val="center"/>
              <w:rPr/>
            </w:pPr>
            <w:r>
              <w:rPr>
                <w:rFonts w:eastAsia="Calibri" w:cs="" w:ascii="Calibri" w:hAnsi="Calibri" w:asciiTheme="minorHAnsi" w:cstheme="minorBidi" w:eastAsiaTheme="minorHAnsi" w:hAnsiTheme="minorHAnsi"/>
                <w:szCs w:val="24"/>
                <w:lang w:eastAsia="en-US"/>
              </w:rPr>
              <w:t>- opravy zdiva, výmalba, nová podlaha</w:t>
            </w:r>
          </w:p>
        </w:tc>
        <w:tc>
          <w:tcPr>
            <w:tcW w:w="2441" w:type="dxa"/>
            <w:tcBorders/>
            <w:shd w:fill="auto" w:val="clear"/>
          </w:tcPr>
          <w:p>
            <w:pPr>
              <w:pStyle w:val="Normal"/>
              <w:overflowPunct w:val="false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Cs w:val="24"/>
                <w:lang w:eastAsia="en-US"/>
              </w:rPr>
            </w:pPr>
            <w:r>
              <w:rPr>
                <w:rFonts w:eastAsia="Calibri" w:cs="" w:cstheme="minorBidi" w:eastAsiaTheme="minorHAnsi" w:ascii="Calibri" w:hAnsi="Calibri"/>
                <w:szCs w:val="24"/>
                <w:lang w:eastAsia="en-US"/>
              </w:rPr>
            </w:r>
          </w:p>
        </w:tc>
      </w:tr>
      <w:tr>
        <w:trPr/>
        <w:tc>
          <w:tcPr>
            <w:tcW w:w="6770" w:type="dxa"/>
            <w:tcBorders/>
            <w:shd w:fill="auto" w:val="clear"/>
          </w:tcPr>
          <w:p>
            <w:pPr>
              <w:pStyle w:val="Normal"/>
              <w:overflowPunct w:val="false"/>
              <w:spacing w:lineRule="auto" w:line="240" w:before="0" w:after="0"/>
              <w:rPr>
                <w:rFonts w:ascii="Calibri" w:hAnsi="Calibri" w:eastAsia="Calibri" w:cs="" w:asciiTheme="minorHAnsi" w:cstheme="minorBidi" w:eastAsiaTheme="minorHAnsi" w:hAnsiTheme="minorHAnsi"/>
                <w:i/>
                <w:i/>
                <w:szCs w:val="24"/>
                <w:lang w:eastAsia="en-US"/>
              </w:rPr>
            </w:pPr>
            <w:r>
              <w:rPr>
                <w:rFonts w:eastAsia="Calibri" w:cs="" w:ascii="Calibri" w:hAnsi="Calibri" w:asciiTheme="minorHAnsi" w:cstheme="minorBidi" w:eastAsiaTheme="minorHAnsi" w:hAnsiTheme="minorHAnsi"/>
                <w:i/>
                <w:szCs w:val="24"/>
                <w:lang w:eastAsia="en-US"/>
              </w:rPr>
              <w:t>Učebna – u schodiště</w:t>
            </w:r>
          </w:p>
        </w:tc>
        <w:tc>
          <w:tcPr>
            <w:tcW w:w="2441" w:type="dxa"/>
            <w:tcBorders/>
            <w:shd w:fill="auto" w:val="clear"/>
          </w:tcPr>
          <w:p>
            <w:pPr>
              <w:pStyle w:val="Normal"/>
              <w:overflowPunct w:val="false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Cs w:val="24"/>
                <w:lang w:eastAsia="en-US"/>
              </w:rPr>
            </w:pPr>
            <w:r>
              <w:rPr>
                <w:rFonts w:eastAsia="Calibri" w:cs="" w:cstheme="minorBidi" w:eastAsiaTheme="minorHAnsi" w:ascii="Calibri" w:hAnsi="Calibri"/>
                <w:szCs w:val="24"/>
                <w:lang w:eastAsia="en-US"/>
              </w:rPr>
            </w:r>
          </w:p>
        </w:tc>
      </w:tr>
      <w:tr>
        <w:trPr/>
        <w:tc>
          <w:tcPr>
            <w:tcW w:w="6770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overflowPunct w:val="false"/>
              <w:spacing w:lineRule="auto" w:line="240" w:before="0" w:after="0"/>
              <w:contextualSpacing/>
              <w:rPr/>
            </w:pPr>
            <w:r>
              <w:rPr>
                <w:rFonts w:eastAsia="Calibri" w:cs="" w:ascii="Calibri" w:hAnsi="Calibri" w:asciiTheme="minorHAnsi" w:cstheme="minorBidi" w:eastAsiaTheme="minorHAnsi" w:hAnsiTheme="minorHAnsi"/>
                <w:szCs w:val="24"/>
                <w:lang w:eastAsia="en-US"/>
              </w:rPr>
              <w:t xml:space="preserve"> </w:t>
            </w:r>
            <w:r>
              <w:rPr>
                <w:rFonts w:eastAsia="Calibri" w:cs="" w:ascii="Calibri" w:hAnsi="Calibri" w:asciiTheme="minorHAnsi" w:cstheme="minorBidi" w:eastAsiaTheme="minorHAnsi" w:hAnsiTheme="minorHAnsi"/>
                <w:szCs w:val="24"/>
                <w:lang w:eastAsia="en-US"/>
              </w:rPr>
              <w:t>omyvatelná podlaha, výmalba, osvětlení, parapety, umyvadlo, obklady</w:t>
            </w:r>
          </w:p>
        </w:tc>
        <w:tc>
          <w:tcPr>
            <w:tcW w:w="2441" w:type="dxa"/>
            <w:tcBorders/>
            <w:shd w:fill="auto" w:val="clear"/>
          </w:tcPr>
          <w:p>
            <w:pPr>
              <w:pStyle w:val="Normal"/>
              <w:overflowPunct w:val="false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Cs w:val="24"/>
                <w:lang w:eastAsia="en-US"/>
              </w:rPr>
            </w:pPr>
            <w:r>
              <w:rPr>
                <w:rFonts w:eastAsia="Calibri" w:cs="" w:cstheme="minorBidi" w:eastAsiaTheme="minorHAnsi" w:ascii="Calibri" w:hAnsi="Calibri"/>
                <w:szCs w:val="24"/>
                <w:lang w:eastAsia="en-US"/>
              </w:rPr>
            </w:r>
          </w:p>
        </w:tc>
      </w:tr>
      <w:tr>
        <w:trPr/>
        <w:tc>
          <w:tcPr>
            <w:tcW w:w="6770" w:type="dxa"/>
            <w:tcBorders/>
            <w:shd w:fill="auto" w:val="clear"/>
          </w:tcPr>
          <w:p>
            <w:pPr>
              <w:pStyle w:val="Normal"/>
              <w:overflowPunct w:val="false"/>
              <w:spacing w:lineRule="auto" w:line="240" w:before="0" w:after="0"/>
              <w:rPr>
                <w:rFonts w:ascii="Calibri" w:hAnsi="Calibri" w:eastAsia="Calibri" w:cs="" w:asciiTheme="minorHAnsi" w:cstheme="minorBidi" w:eastAsiaTheme="minorHAnsi" w:hAnsiTheme="minorHAnsi"/>
                <w:i/>
                <w:i/>
                <w:szCs w:val="24"/>
                <w:lang w:eastAsia="en-US"/>
              </w:rPr>
            </w:pPr>
            <w:r>
              <w:rPr>
                <w:rFonts w:eastAsia="Calibri" w:cs="" w:ascii="Calibri" w:hAnsi="Calibri" w:asciiTheme="minorHAnsi" w:cstheme="minorBidi" w:eastAsiaTheme="minorHAnsi" w:hAnsiTheme="minorHAnsi"/>
                <w:i/>
                <w:szCs w:val="24"/>
                <w:lang w:eastAsia="en-US"/>
              </w:rPr>
              <w:t>Učebna - u ředitelny</w:t>
            </w:r>
          </w:p>
        </w:tc>
        <w:tc>
          <w:tcPr>
            <w:tcW w:w="2441" w:type="dxa"/>
            <w:tcBorders/>
            <w:shd w:fill="auto" w:val="clear"/>
          </w:tcPr>
          <w:p>
            <w:pPr>
              <w:pStyle w:val="Normal"/>
              <w:overflowPunct w:val="false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Cs w:val="24"/>
                <w:lang w:eastAsia="en-US"/>
              </w:rPr>
            </w:pPr>
            <w:r>
              <w:rPr>
                <w:rFonts w:eastAsia="Calibri" w:cs="" w:cstheme="minorBidi" w:eastAsiaTheme="minorHAnsi" w:ascii="Calibri" w:hAnsi="Calibri"/>
                <w:szCs w:val="24"/>
                <w:lang w:eastAsia="en-US"/>
              </w:rPr>
            </w:r>
          </w:p>
        </w:tc>
      </w:tr>
      <w:tr>
        <w:trPr/>
        <w:tc>
          <w:tcPr>
            <w:tcW w:w="6770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overflowPunct w:val="false"/>
              <w:spacing w:lineRule="auto" w:line="240" w:before="0" w:after="0"/>
              <w:contextualSpacing/>
              <w:rPr/>
            </w:pPr>
            <w:r>
              <w:rPr>
                <w:rFonts w:eastAsia="Calibri" w:cs="" w:ascii="Calibri" w:hAnsi="Calibri" w:asciiTheme="minorHAnsi" w:cstheme="minorBidi" w:eastAsiaTheme="minorHAnsi" w:hAnsiTheme="minorHAnsi"/>
                <w:szCs w:val="24"/>
                <w:lang w:eastAsia="en-US"/>
              </w:rPr>
              <w:t>Omyvatelná podlaha, výmalba, osvětlení, parapety, umyvadlo, obklady</w:t>
            </w:r>
          </w:p>
        </w:tc>
        <w:tc>
          <w:tcPr>
            <w:tcW w:w="2441" w:type="dxa"/>
            <w:tcBorders/>
            <w:shd w:fill="auto" w:val="clear"/>
          </w:tcPr>
          <w:p>
            <w:pPr>
              <w:pStyle w:val="Normal"/>
              <w:overflowPunct w:val="false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Cs w:val="24"/>
                <w:lang w:eastAsia="en-US"/>
              </w:rPr>
            </w:pPr>
            <w:r>
              <w:rPr>
                <w:rFonts w:eastAsia="Calibri" w:cs="" w:cstheme="minorBidi" w:eastAsiaTheme="minorHAnsi" w:ascii="Calibri" w:hAnsi="Calibri"/>
                <w:szCs w:val="24"/>
                <w:lang w:eastAsia="en-US"/>
              </w:rPr>
            </w:r>
          </w:p>
        </w:tc>
      </w:tr>
      <w:tr>
        <w:trPr/>
        <w:tc>
          <w:tcPr>
            <w:tcW w:w="6770" w:type="dxa"/>
            <w:tcBorders/>
            <w:shd w:fill="auto" w:val="clear"/>
          </w:tcPr>
          <w:p>
            <w:pPr>
              <w:pStyle w:val="Normal"/>
              <w:overflowPunct w:val="false"/>
              <w:spacing w:lineRule="auto" w:line="240" w:before="0" w:after="0"/>
              <w:rPr>
                <w:rFonts w:ascii="Calibri" w:hAnsi="Calibri" w:eastAsia="Calibri" w:cs="" w:asciiTheme="minorHAnsi" w:cstheme="minorBidi" w:eastAsiaTheme="minorHAnsi" w:hAnsiTheme="minorHAnsi"/>
                <w:i/>
                <w:i/>
                <w:szCs w:val="24"/>
                <w:lang w:eastAsia="en-US"/>
              </w:rPr>
            </w:pPr>
            <w:r>
              <w:rPr>
                <w:rFonts w:eastAsia="Calibri" w:cs="" w:ascii="Calibri" w:hAnsi="Calibri" w:asciiTheme="minorHAnsi" w:cstheme="minorBidi" w:eastAsiaTheme="minorHAnsi" w:hAnsiTheme="minorHAnsi"/>
                <w:i/>
                <w:szCs w:val="24"/>
                <w:lang w:eastAsia="en-US"/>
              </w:rPr>
              <w:t>Učebna – u soc. zařízení</w:t>
            </w:r>
          </w:p>
        </w:tc>
        <w:tc>
          <w:tcPr>
            <w:tcW w:w="2441" w:type="dxa"/>
            <w:tcBorders/>
            <w:shd w:fill="auto" w:val="clear"/>
          </w:tcPr>
          <w:p>
            <w:pPr>
              <w:pStyle w:val="Normal"/>
              <w:overflowPunct w:val="false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Cs w:val="24"/>
                <w:lang w:eastAsia="en-US"/>
              </w:rPr>
            </w:pPr>
            <w:r>
              <w:rPr>
                <w:rFonts w:eastAsia="Calibri" w:cs="" w:cstheme="minorBidi" w:eastAsiaTheme="minorHAnsi" w:ascii="Calibri" w:hAnsi="Calibri"/>
                <w:szCs w:val="24"/>
                <w:lang w:eastAsia="en-US"/>
              </w:rPr>
            </w:r>
          </w:p>
        </w:tc>
      </w:tr>
      <w:tr>
        <w:trPr/>
        <w:tc>
          <w:tcPr>
            <w:tcW w:w="6770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overflowPunct w:val="false"/>
              <w:spacing w:lineRule="auto" w:line="240" w:before="0" w:after="0"/>
              <w:contextualSpacing/>
              <w:rPr/>
            </w:pPr>
            <w:r>
              <w:rPr>
                <w:rFonts w:eastAsia="Calibri" w:cs="" w:ascii="Calibri" w:hAnsi="Calibri" w:asciiTheme="minorHAnsi" w:cstheme="minorBidi" w:eastAsiaTheme="minorHAnsi" w:hAnsiTheme="minorHAnsi"/>
                <w:szCs w:val="24"/>
                <w:lang w:eastAsia="en-US"/>
              </w:rPr>
              <w:t>Omyvatelná podlaha, výmalba, osvětlení, umyvadlo</w:t>
            </w:r>
          </w:p>
        </w:tc>
        <w:tc>
          <w:tcPr>
            <w:tcW w:w="2441" w:type="dxa"/>
            <w:tcBorders/>
            <w:shd w:fill="auto" w:val="clear"/>
          </w:tcPr>
          <w:p>
            <w:pPr>
              <w:pStyle w:val="Normal"/>
              <w:overflowPunct w:val="false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Cs w:val="24"/>
                <w:lang w:eastAsia="en-US"/>
              </w:rPr>
            </w:pPr>
            <w:r>
              <w:rPr>
                <w:rFonts w:eastAsia="Calibri" w:cs="" w:cstheme="minorBidi" w:eastAsiaTheme="minorHAnsi" w:ascii="Calibri" w:hAnsi="Calibri"/>
                <w:szCs w:val="24"/>
                <w:lang w:eastAsia="en-US"/>
              </w:rPr>
            </w:r>
          </w:p>
        </w:tc>
      </w:tr>
      <w:tr>
        <w:trPr/>
        <w:tc>
          <w:tcPr>
            <w:tcW w:w="6770" w:type="dxa"/>
            <w:tcBorders/>
            <w:shd w:fill="auto" w:val="clear"/>
          </w:tcPr>
          <w:p>
            <w:pPr>
              <w:pStyle w:val="Normal"/>
              <w:overflowPunct w:val="false"/>
              <w:spacing w:lineRule="auto" w:line="240" w:before="0" w:after="0"/>
              <w:rPr>
                <w:rFonts w:ascii="Calibri" w:hAnsi="Calibri" w:eastAsia="Calibri" w:cs="" w:asciiTheme="minorHAnsi" w:cstheme="minorBidi" w:eastAsiaTheme="minorHAnsi" w:hAnsiTheme="minorHAnsi"/>
                <w:i/>
                <w:i/>
                <w:szCs w:val="24"/>
                <w:lang w:eastAsia="en-US"/>
              </w:rPr>
            </w:pPr>
            <w:r>
              <w:rPr>
                <w:rFonts w:eastAsia="Calibri" w:cs="" w:ascii="Calibri" w:hAnsi="Calibri" w:asciiTheme="minorHAnsi" w:cstheme="minorBidi" w:eastAsiaTheme="minorHAnsi" w:hAnsiTheme="minorHAnsi"/>
                <w:i/>
                <w:szCs w:val="24"/>
                <w:lang w:eastAsia="en-US"/>
              </w:rPr>
              <w:t>Kabinet, Archiv</w:t>
            </w:r>
          </w:p>
        </w:tc>
        <w:tc>
          <w:tcPr>
            <w:tcW w:w="2441" w:type="dxa"/>
            <w:tcBorders/>
            <w:shd w:fill="auto" w:val="clear"/>
          </w:tcPr>
          <w:p>
            <w:pPr>
              <w:pStyle w:val="Normal"/>
              <w:overflowPunct w:val="false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Cs w:val="24"/>
                <w:lang w:eastAsia="en-US"/>
              </w:rPr>
            </w:pPr>
            <w:r>
              <w:rPr>
                <w:rFonts w:eastAsia="Calibri" w:cs="" w:cstheme="minorBidi" w:eastAsiaTheme="minorHAnsi" w:ascii="Calibri" w:hAnsi="Calibri"/>
                <w:szCs w:val="24"/>
                <w:lang w:eastAsia="en-US"/>
              </w:rPr>
            </w:r>
          </w:p>
        </w:tc>
      </w:tr>
      <w:tr>
        <w:trPr/>
        <w:tc>
          <w:tcPr>
            <w:tcW w:w="6770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overflowPunct w:val="false"/>
              <w:spacing w:lineRule="auto" w:line="240" w:before="0" w:after="0"/>
              <w:contextualSpacing/>
              <w:rPr/>
            </w:pPr>
            <w:r>
              <w:rPr>
                <w:rFonts w:eastAsia="Calibri" w:cs="" w:ascii="Calibri" w:hAnsi="Calibri" w:asciiTheme="minorHAnsi" w:cstheme="minorBidi" w:eastAsiaTheme="minorHAnsi" w:hAnsiTheme="minorHAnsi"/>
                <w:szCs w:val="24"/>
                <w:lang w:eastAsia="en-US"/>
              </w:rPr>
              <w:t>Podlaha, výmalba, umyvadlo, obklady</w:t>
            </w:r>
          </w:p>
        </w:tc>
        <w:tc>
          <w:tcPr>
            <w:tcW w:w="2441" w:type="dxa"/>
            <w:tcBorders/>
            <w:shd w:fill="auto" w:val="clear"/>
          </w:tcPr>
          <w:p>
            <w:pPr>
              <w:pStyle w:val="Normal"/>
              <w:overflowPunct w:val="false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Cs w:val="24"/>
                <w:lang w:eastAsia="en-US"/>
              </w:rPr>
            </w:pPr>
            <w:r>
              <w:rPr>
                <w:rFonts w:eastAsia="Calibri" w:cs="" w:cstheme="minorBidi" w:eastAsiaTheme="minorHAnsi" w:ascii="Calibri" w:hAnsi="Calibri"/>
                <w:szCs w:val="24"/>
                <w:lang w:eastAsia="en-US"/>
              </w:rPr>
            </w:r>
          </w:p>
        </w:tc>
      </w:tr>
      <w:tr>
        <w:trPr/>
        <w:tc>
          <w:tcPr>
            <w:tcW w:w="6770" w:type="dxa"/>
            <w:tcBorders/>
            <w:shd w:fill="auto" w:val="clear"/>
          </w:tcPr>
          <w:p>
            <w:pPr>
              <w:pStyle w:val="Normal"/>
              <w:overflowPunct w:val="false"/>
              <w:spacing w:lineRule="auto" w:line="240" w:before="0" w:after="0"/>
              <w:rPr>
                <w:rFonts w:ascii="Calibri" w:hAnsi="Calibri" w:eastAsia="Calibri" w:cs="" w:asciiTheme="minorHAnsi" w:cstheme="minorBidi" w:eastAsiaTheme="minorHAnsi" w:hAnsiTheme="minorHAnsi"/>
                <w:szCs w:val="24"/>
                <w:lang w:eastAsia="en-US"/>
              </w:rPr>
            </w:pPr>
            <w:r>
              <w:rPr>
                <w:rFonts w:eastAsia="Calibri" w:cs="" w:ascii="Calibri" w:hAnsi="Calibri" w:asciiTheme="minorHAnsi" w:cstheme="minorBidi" w:eastAsiaTheme="minorHAnsi" w:hAnsiTheme="minorHAnsi"/>
                <w:szCs w:val="24"/>
                <w:lang w:eastAsia="en-US"/>
              </w:rPr>
              <w:t>Místnost pro úklid dole, nahoře</w:t>
            </w:r>
          </w:p>
        </w:tc>
        <w:tc>
          <w:tcPr>
            <w:tcW w:w="2441" w:type="dxa"/>
            <w:tcBorders/>
            <w:shd w:fill="auto" w:val="clear"/>
          </w:tcPr>
          <w:p>
            <w:pPr>
              <w:pStyle w:val="Normal"/>
              <w:overflowPunct w:val="false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Cs w:val="24"/>
                <w:lang w:eastAsia="en-US"/>
              </w:rPr>
            </w:pPr>
            <w:r>
              <w:rPr>
                <w:rFonts w:eastAsia="Calibri" w:cs="" w:cstheme="minorBidi" w:eastAsiaTheme="minorHAnsi" w:ascii="Calibri" w:hAnsi="Calibri"/>
                <w:szCs w:val="24"/>
                <w:lang w:eastAsia="en-US"/>
              </w:rPr>
            </w:r>
          </w:p>
        </w:tc>
      </w:tr>
      <w:tr>
        <w:trPr/>
        <w:tc>
          <w:tcPr>
            <w:tcW w:w="6770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overflowPunct w:val="false"/>
              <w:spacing w:lineRule="auto" w:line="240" w:before="0" w:after="0"/>
              <w:contextualSpacing/>
              <w:rPr>
                <w:rFonts w:ascii="Calibri" w:hAnsi="Calibri" w:eastAsia="Calibri" w:cs="" w:asciiTheme="minorHAnsi" w:cstheme="minorBidi" w:eastAsiaTheme="minorHAnsi" w:hAnsiTheme="minorHAnsi"/>
                <w:szCs w:val="24"/>
                <w:lang w:eastAsia="en-US"/>
              </w:rPr>
            </w:pPr>
            <w:r>
              <w:rPr>
                <w:rFonts w:eastAsia="Calibri" w:cs="" w:ascii="Calibri" w:hAnsi="Calibri" w:asciiTheme="minorHAnsi" w:cstheme="minorBidi" w:eastAsiaTheme="minorHAnsi" w:hAnsiTheme="minorHAnsi"/>
                <w:szCs w:val="24"/>
                <w:lang w:eastAsia="en-US"/>
              </w:rPr>
              <w:t>Oprava zdiva, podlahy</w:t>
            </w:r>
          </w:p>
        </w:tc>
        <w:tc>
          <w:tcPr>
            <w:tcW w:w="2441" w:type="dxa"/>
            <w:tcBorders/>
            <w:shd w:fill="auto" w:val="clear"/>
          </w:tcPr>
          <w:p>
            <w:pPr>
              <w:pStyle w:val="Normal"/>
              <w:overflowPunct w:val="false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Cs w:val="24"/>
                <w:lang w:eastAsia="en-US"/>
              </w:rPr>
            </w:pPr>
            <w:r>
              <w:rPr>
                <w:rFonts w:eastAsia="Calibri" w:cs="" w:cstheme="minorBidi" w:eastAsiaTheme="minorHAnsi" w:ascii="Calibri" w:hAnsi="Calibri"/>
                <w:szCs w:val="24"/>
                <w:lang w:eastAsia="en-US"/>
              </w:rPr>
            </w:r>
          </w:p>
        </w:tc>
      </w:tr>
      <w:tr>
        <w:trPr/>
        <w:tc>
          <w:tcPr>
            <w:tcW w:w="6770" w:type="dxa"/>
            <w:tcBorders/>
            <w:shd w:fill="auto" w:val="clear"/>
          </w:tcPr>
          <w:p>
            <w:pPr>
              <w:pStyle w:val="Normal"/>
              <w:overflowPunct w:val="false"/>
              <w:spacing w:lineRule="auto" w:line="240" w:before="0" w:after="0"/>
              <w:rPr>
                <w:rFonts w:ascii="Calibri" w:hAnsi="Calibri" w:eastAsia="Calibri" w:cs="" w:asciiTheme="minorHAnsi" w:cstheme="minorBidi" w:eastAsiaTheme="minorHAnsi" w:hAnsiTheme="minorHAnsi"/>
                <w:b/>
                <w:b/>
                <w:i/>
                <w:i/>
                <w:sz w:val="32"/>
                <w:szCs w:val="32"/>
                <w:lang w:eastAsia="en-US"/>
              </w:rPr>
            </w:pPr>
            <w:r>
              <w:rPr>
                <w:rFonts w:eastAsia="Calibri" w:cs="" w:ascii="Calibri" w:hAnsi="Calibri" w:asciiTheme="minorHAnsi" w:cstheme="minorBidi" w:eastAsiaTheme="minorHAnsi" w:hAnsiTheme="minorHAnsi"/>
                <w:b/>
                <w:i/>
                <w:sz w:val="32"/>
                <w:szCs w:val="32"/>
                <w:lang w:eastAsia="en-US"/>
              </w:rPr>
              <w:t>Školní jídelna</w:t>
            </w:r>
          </w:p>
        </w:tc>
        <w:tc>
          <w:tcPr>
            <w:tcW w:w="2441" w:type="dxa"/>
            <w:tcBorders/>
            <w:shd w:fill="auto" w:val="clear"/>
          </w:tcPr>
          <w:p>
            <w:pPr>
              <w:pStyle w:val="Normal"/>
              <w:overflowPunct w:val="false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Cs w:val="24"/>
                <w:lang w:eastAsia="en-US"/>
              </w:rPr>
            </w:pPr>
            <w:r>
              <w:rPr>
                <w:rFonts w:eastAsia="Calibri" w:cs="" w:cstheme="minorBidi" w:eastAsiaTheme="minorHAnsi" w:ascii="Calibri" w:hAnsi="Calibri"/>
                <w:szCs w:val="24"/>
                <w:lang w:eastAsia="en-US"/>
              </w:rPr>
            </w:r>
          </w:p>
        </w:tc>
      </w:tr>
      <w:tr>
        <w:trPr/>
        <w:tc>
          <w:tcPr>
            <w:tcW w:w="6770" w:type="dxa"/>
            <w:tcBorders/>
            <w:shd w:fill="auto" w:val="clear"/>
          </w:tcPr>
          <w:p>
            <w:pPr>
              <w:pStyle w:val="Normal"/>
              <w:overflowPunct w:val="false"/>
              <w:spacing w:lineRule="auto" w:line="240" w:before="0" w:after="0"/>
              <w:ind w:left="720" w:hanging="0"/>
              <w:contextualSpacing/>
              <w:rPr>
                <w:rFonts w:ascii="Calibri" w:hAnsi="Calibri" w:eastAsia="Calibri" w:cs="" w:asciiTheme="minorHAnsi" w:cstheme="minorBidi" w:eastAsiaTheme="minorHAnsi" w:hAnsiTheme="minorHAnsi"/>
                <w:szCs w:val="24"/>
                <w:lang w:eastAsia="en-US"/>
              </w:rPr>
            </w:pPr>
            <w:r>
              <w:rPr>
                <w:rFonts w:eastAsia="Calibri" w:cs="" w:ascii="Calibri" w:hAnsi="Calibri" w:asciiTheme="minorHAnsi" w:cstheme="minorBidi" w:eastAsiaTheme="minorHAnsi" w:hAnsiTheme="minorHAnsi"/>
                <w:szCs w:val="24"/>
                <w:lang w:eastAsia="en-US"/>
              </w:rPr>
              <w:t>ZŠ</w:t>
            </w:r>
          </w:p>
        </w:tc>
        <w:tc>
          <w:tcPr>
            <w:tcW w:w="2441" w:type="dxa"/>
            <w:tcBorders/>
            <w:shd w:fill="auto" w:val="clear"/>
          </w:tcPr>
          <w:p>
            <w:pPr>
              <w:pStyle w:val="Normal"/>
              <w:overflowPunct w:val="false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Cs w:val="24"/>
                <w:lang w:eastAsia="en-US"/>
              </w:rPr>
            </w:pPr>
            <w:r>
              <w:rPr>
                <w:rFonts w:eastAsia="Calibri" w:cs="" w:cstheme="minorBidi" w:eastAsiaTheme="minorHAnsi" w:ascii="Calibri" w:hAnsi="Calibri"/>
                <w:szCs w:val="24"/>
                <w:lang w:eastAsia="en-US"/>
              </w:rPr>
            </w:r>
          </w:p>
        </w:tc>
      </w:tr>
      <w:tr>
        <w:trPr/>
        <w:tc>
          <w:tcPr>
            <w:tcW w:w="6770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overflowPunct w:val="false"/>
              <w:spacing w:lineRule="auto" w:line="240" w:before="0" w:after="0"/>
              <w:contextualSpacing/>
              <w:rPr/>
            </w:pPr>
            <w:r>
              <w:rPr>
                <w:rFonts w:eastAsia="Calibri" w:cs="" w:ascii="Calibri" w:hAnsi="Calibri" w:asciiTheme="minorHAnsi" w:cstheme="minorBidi" w:eastAsiaTheme="minorHAnsi" w:hAnsiTheme="minorHAnsi"/>
                <w:szCs w:val="24"/>
                <w:lang w:eastAsia="en-US"/>
              </w:rPr>
              <w:t>Nový výdejní pult, nově klimatizace, výmalba skladů, nábytek pro vedoucí stravování, nově uložení čistících prostředků, nově ventilátory</w:t>
            </w:r>
          </w:p>
        </w:tc>
        <w:tc>
          <w:tcPr>
            <w:tcW w:w="2441" w:type="dxa"/>
            <w:tcBorders/>
            <w:shd w:fill="auto" w:val="clear"/>
          </w:tcPr>
          <w:p>
            <w:pPr>
              <w:pStyle w:val="Normal"/>
              <w:overflowPunct w:val="false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Cs w:val="24"/>
                <w:lang w:eastAsia="en-US"/>
              </w:rPr>
            </w:pPr>
            <w:r>
              <w:rPr>
                <w:rFonts w:eastAsia="Calibri" w:cs="" w:cstheme="minorBidi" w:eastAsiaTheme="minorHAnsi" w:ascii="Calibri" w:hAnsi="Calibri"/>
                <w:szCs w:val="24"/>
                <w:lang w:eastAsia="en-US"/>
              </w:rPr>
            </w:r>
          </w:p>
        </w:tc>
      </w:tr>
    </w:tbl>
    <w:p>
      <w:pPr>
        <w:pStyle w:val="Normal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tbl>
      <w:tblPr>
        <w:tblStyle w:val="Mkatabulky1"/>
        <w:tblW w:w="921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70"/>
        <w:gridCol w:w="2441"/>
      </w:tblGrid>
      <w:tr>
        <w:trPr/>
        <w:tc>
          <w:tcPr>
            <w:tcW w:w="6770" w:type="dxa"/>
            <w:tcBorders/>
            <w:shd w:fill="auto" w:val="clear"/>
          </w:tcPr>
          <w:p>
            <w:pPr>
              <w:pStyle w:val="ListParagraph"/>
              <w:overflowPunct w:val="false"/>
              <w:spacing w:lineRule="auto" w:line="240" w:before="0" w:after="0"/>
              <w:contextualSpacing/>
              <w:rPr>
                <w:rFonts w:ascii="Calibri" w:hAnsi="Calibri" w:eastAsia="Calibri" w:cs="" w:asciiTheme="minorHAnsi" w:cstheme="minorBidi" w:eastAsiaTheme="minorHAnsi" w:hAnsiTheme="minorHAnsi"/>
                <w:szCs w:val="24"/>
                <w:lang w:eastAsia="en-US"/>
              </w:rPr>
            </w:pPr>
            <w:r>
              <w:rPr>
                <w:rFonts w:eastAsia="Calibri" w:cs="" w:ascii="Calibri" w:hAnsi="Calibri" w:asciiTheme="minorHAnsi" w:cstheme="minorBidi" w:eastAsiaTheme="minorHAnsi" w:hAnsiTheme="minorHAnsi"/>
                <w:szCs w:val="24"/>
                <w:lang w:eastAsia="en-US"/>
              </w:rPr>
              <w:t>MŠ</w:t>
            </w:r>
          </w:p>
        </w:tc>
        <w:tc>
          <w:tcPr>
            <w:tcW w:w="2441" w:type="dxa"/>
            <w:tcBorders/>
            <w:shd w:fill="auto" w:val="clear"/>
          </w:tcPr>
          <w:p>
            <w:pPr>
              <w:pStyle w:val="Normal"/>
              <w:overflowPunct w:val="false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Cs w:val="24"/>
                <w:lang w:eastAsia="en-US"/>
              </w:rPr>
            </w:pPr>
            <w:r>
              <w:rPr>
                <w:rFonts w:eastAsia="Calibri" w:cs="" w:cstheme="minorBidi" w:eastAsiaTheme="minorHAnsi" w:ascii="Calibri" w:hAnsi="Calibri"/>
                <w:szCs w:val="24"/>
                <w:lang w:eastAsia="en-US"/>
              </w:rPr>
            </w:r>
          </w:p>
        </w:tc>
      </w:tr>
      <w:tr>
        <w:trPr/>
        <w:tc>
          <w:tcPr>
            <w:tcW w:w="6770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overflowPunct w:val="false"/>
              <w:spacing w:lineRule="auto" w:line="240" w:before="0" w:after="0"/>
              <w:contextualSpacing/>
              <w:rPr/>
            </w:pPr>
            <w:r>
              <w:rPr>
                <w:rFonts w:eastAsia="Calibri" w:cs="" w:ascii="Calibri" w:hAnsi="Calibri" w:asciiTheme="minorHAnsi" w:cstheme="minorBidi" w:eastAsiaTheme="minorHAnsi" w:hAnsiTheme="minorHAnsi"/>
                <w:szCs w:val="24"/>
                <w:lang w:eastAsia="en-US"/>
              </w:rPr>
              <w:t>Obklady kolem výdejního okénka</w:t>
            </w:r>
          </w:p>
        </w:tc>
        <w:tc>
          <w:tcPr>
            <w:tcW w:w="2441" w:type="dxa"/>
            <w:tcBorders/>
            <w:shd w:fill="auto" w:val="clear"/>
          </w:tcPr>
          <w:p>
            <w:pPr>
              <w:pStyle w:val="Normal"/>
              <w:overflowPunct w:val="false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Cs w:val="24"/>
                <w:lang w:eastAsia="en-US"/>
              </w:rPr>
            </w:pPr>
            <w:r>
              <w:rPr>
                <w:rFonts w:eastAsia="Calibri" w:cs="" w:cstheme="minorBidi" w:eastAsiaTheme="minorHAnsi" w:ascii="Calibri" w:hAnsi="Calibri"/>
                <w:szCs w:val="24"/>
                <w:lang w:eastAsia="en-US"/>
              </w:rPr>
            </w:r>
          </w:p>
        </w:tc>
      </w:tr>
      <w:tr>
        <w:trPr/>
        <w:tc>
          <w:tcPr>
            <w:tcW w:w="6770" w:type="dxa"/>
            <w:tcBorders/>
            <w:shd w:fill="auto" w:val="clear"/>
          </w:tcPr>
          <w:p>
            <w:pPr>
              <w:pStyle w:val="Normal"/>
              <w:overflowPunct w:val="false"/>
              <w:spacing w:lineRule="auto" w:line="240" w:before="0" w:after="0"/>
              <w:ind w:left="720" w:hanging="0"/>
              <w:contextualSpacing/>
              <w:rPr>
                <w:rFonts w:ascii="Calibri" w:hAnsi="Calibri" w:eastAsia="Calibri" w:cs="" w:asciiTheme="minorHAnsi" w:cstheme="minorBidi" w:eastAsiaTheme="minorHAnsi" w:hAnsiTheme="minorHAnsi"/>
                <w:i/>
                <w:i/>
                <w:szCs w:val="24"/>
                <w:lang w:eastAsia="en-US"/>
              </w:rPr>
            </w:pPr>
            <w:r>
              <w:rPr>
                <w:rFonts w:eastAsia="Calibri" w:cs="" w:ascii="Calibri" w:hAnsi="Calibri" w:asciiTheme="minorHAnsi" w:cstheme="minorBidi" w:eastAsiaTheme="minorHAnsi" w:hAnsiTheme="minorHAnsi"/>
                <w:i/>
                <w:szCs w:val="24"/>
                <w:lang w:eastAsia="en-US"/>
              </w:rPr>
              <w:t>Ředitelna</w:t>
            </w:r>
          </w:p>
        </w:tc>
        <w:tc>
          <w:tcPr>
            <w:tcW w:w="2441" w:type="dxa"/>
            <w:tcBorders/>
            <w:shd w:fill="auto" w:val="clear"/>
          </w:tcPr>
          <w:p>
            <w:pPr>
              <w:pStyle w:val="Normal"/>
              <w:overflowPunct w:val="false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Cs w:val="24"/>
                <w:lang w:eastAsia="en-US"/>
              </w:rPr>
            </w:pPr>
            <w:r>
              <w:rPr>
                <w:rFonts w:eastAsia="Calibri" w:cs="" w:cstheme="minorBidi" w:eastAsiaTheme="minorHAnsi" w:ascii="Calibri" w:hAnsi="Calibri"/>
                <w:szCs w:val="24"/>
                <w:lang w:eastAsia="en-US"/>
              </w:rPr>
            </w:r>
          </w:p>
        </w:tc>
      </w:tr>
      <w:tr>
        <w:trPr/>
        <w:tc>
          <w:tcPr>
            <w:tcW w:w="6770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overflowPunct w:val="false"/>
              <w:spacing w:lineRule="auto" w:line="240" w:before="0" w:after="0"/>
              <w:contextualSpacing/>
              <w:rPr/>
            </w:pPr>
            <w:r>
              <w:rPr>
                <w:rFonts w:eastAsia="Calibri" w:cs="" w:ascii="Calibri" w:hAnsi="Calibri" w:asciiTheme="minorHAnsi" w:cstheme="minorBidi" w:eastAsiaTheme="minorHAnsi" w:hAnsiTheme="minorHAnsi"/>
                <w:szCs w:val="24"/>
                <w:lang w:eastAsia="en-US"/>
              </w:rPr>
              <w:t>Oprava židlí</w:t>
            </w:r>
          </w:p>
        </w:tc>
        <w:tc>
          <w:tcPr>
            <w:tcW w:w="2441" w:type="dxa"/>
            <w:tcBorders/>
            <w:shd w:fill="auto" w:val="clear"/>
          </w:tcPr>
          <w:p>
            <w:pPr>
              <w:pStyle w:val="Normal"/>
              <w:overflowPunct w:val="false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Cs w:val="24"/>
                <w:lang w:eastAsia="en-US"/>
              </w:rPr>
            </w:pPr>
            <w:r>
              <w:rPr>
                <w:rFonts w:eastAsia="Calibri" w:cs="" w:cstheme="minorBidi" w:eastAsiaTheme="minorHAnsi" w:ascii="Calibri" w:hAnsi="Calibri"/>
                <w:szCs w:val="24"/>
                <w:lang w:eastAsia="en-US"/>
              </w:rPr>
            </w:r>
          </w:p>
        </w:tc>
      </w:tr>
      <w:tr>
        <w:trPr/>
        <w:tc>
          <w:tcPr>
            <w:tcW w:w="6770" w:type="dxa"/>
            <w:tcBorders/>
            <w:shd w:fill="auto" w:val="clear"/>
          </w:tcPr>
          <w:p>
            <w:pPr>
              <w:pStyle w:val="Normal"/>
              <w:overflowPunct w:val="false"/>
              <w:spacing w:lineRule="auto" w:line="240" w:before="0" w:after="0"/>
              <w:rPr>
                <w:rFonts w:ascii="Calibri" w:hAnsi="Calibri" w:eastAsia="Calibri" w:cs="" w:asciiTheme="minorHAnsi" w:cstheme="minorBidi" w:eastAsiaTheme="minorHAnsi" w:hAnsiTheme="minorHAnsi"/>
                <w:i/>
                <w:i/>
                <w:szCs w:val="24"/>
                <w:lang w:eastAsia="en-US"/>
              </w:rPr>
            </w:pPr>
            <w:r>
              <w:rPr>
                <w:rFonts w:eastAsia="Calibri" w:cs="" w:ascii="Calibri" w:hAnsi="Calibri" w:asciiTheme="minorHAnsi" w:cstheme="minorBidi" w:eastAsiaTheme="minorHAnsi" w:hAnsiTheme="minorHAnsi"/>
                <w:b/>
                <w:bCs/>
                <w:i/>
                <w:szCs w:val="24"/>
                <w:lang w:eastAsia="en-US"/>
              </w:rPr>
              <w:t>Půda - střecha</w:t>
            </w:r>
          </w:p>
        </w:tc>
        <w:tc>
          <w:tcPr>
            <w:tcW w:w="2441" w:type="dxa"/>
            <w:tcBorders/>
            <w:shd w:fill="auto" w:val="clear"/>
          </w:tcPr>
          <w:p>
            <w:pPr>
              <w:pStyle w:val="Normal"/>
              <w:overflowPunct w:val="false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Cs w:val="24"/>
                <w:lang w:eastAsia="en-US"/>
              </w:rPr>
            </w:pPr>
            <w:r>
              <w:rPr>
                <w:rFonts w:eastAsia="Calibri" w:cs="" w:cstheme="minorBidi" w:eastAsiaTheme="minorHAnsi" w:ascii="Calibri" w:hAnsi="Calibri"/>
                <w:szCs w:val="24"/>
                <w:lang w:eastAsia="en-US"/>
              </w:rPr>
            </w:r>
          </w:p>
        </w:tc>
      </w:tr>
      <w:tr>
        <w:trPr/>
        <w:tc>
          <w:tcPr>
            <w:tcW w:w="6770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overflowPunct w:val="false"/>
              <w:spacing w:lineRule="auto" w:line="240" w:before="0" w:after="0"/>
              <w:contextualSpacing/>
              <w:rPr>
                <w:rFonts w:ascii="Calibri" w:hAnsi="Calibri" w:eastAsia="Calibri" w:cs="" w:asciiTheme="minorHAnsi" w:cstheme="minorBidi" w:eastAsiaTheme="minorHAnsi" w:hAnsiTheme="minorHAnsi"/>
                <w:szCs w:val="24"/>
                <w:lang w:eastAsia="en-US"/>
              </w:rPr>
            </w:pPr>
            <w:r>
              <w:rPr>
                <w:rFonts w:eastAsia="Calibri" w:cs="" w:ascii="Calibri" w:hAnsi="Calibri" w:asciiTheme="minorHAnsi" w:cstheme="minorBidi" w:eastAsiaTheme="minorHAnsi" w:hAnsiTheme="minorHAnsi"/>
                <w:szCs w:val="24"/>
                <w:lang w:eastAsia="en-US"/>
              </w:rPr>
              <w:t>Úklid prostor, nepotřebných věcí</w:t>
            </w:r>
          </w:p>
          <w:p>
            <w:pPr>
              <w:pStyle w:val="Normal"/>
              <w:numPr>
                <w:ilvl w:val="0"/>
                <w:numId w:val="2"/>
              </w:numPr>
              <w:overflowPunct w:val="false"/>
              <w:spacing w:lineRule="auto" w:line="240" w:before="0" w:after="0"/>
              <w:contextualSpacing/>
              <w:rPr>
                <w:rFonts w:ascii="Calibri" w:hAnsi="Calibri" w:eastAsia="Calibri" w:cs="" w:asciiTheme="minorHAnsi" w:cstheme="minorBidi" w:eastAsiaTheme="minorHAnsi" w:hAnsiTheme="minorHAnsi"/>
                <w:szCs w:val="24"/>
                <w:lang w:eastAsia="en-US"/>
              </w:rPr>
            </w:pPr>
            <w:r>
              <w:rPr>
                <w:rFonts w:eastAsia="Calibri" w:cs="" w:ascii="Calibri" w:hAnsi="Calibri" w:asciiTheme="minorHAnsi" w:cstheme="minorBidi" w:eastAsiaTheme="minorHAnsi" w:hAnsiTheme="minorHAnsi"/>
                <w:szCs w:val="24"/>
                <w:lang w:eastAsia="en-US"/>
              </w:rPr>
              <w:t>Oprava, později nutná nová střecha</w:t>
            </w:r>
          </w:p>
        </w:tc>
        <w:tc>
          <w:tcPr>
            <w:tcW w:w="2441" w:type="dxa"/>
            <w:tcBorders/>
            <w:shd w:fill="auto" w:val="clear"/>
          </w:tcPr>
          <w:p>
            <w:pPr>
              <w:pStyle w:val="Normal"/>
              <w:overflowPunct w:val="false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Cs w:val="24"/>
                <w:lang w:eastAsia="en-US"/>
              </w:rPr>
            </w:pPr>
            <w:r>
              <w:rPr>
                <w:rFonts w:eastAsia="Calibri" w:cs="" w:cstheme="minorBidi" w:eastAsiaTheme="minorHAnsi" w:ascii="Calibri" w:hAnsi="Calibri"/>
                <w:szCs w:val="24"/>
                <w:lang w:eastAsia="en-US"/>
              </w:rPr>
            </w:r>
          </w:p>
        </w:tc>
      </w:tr>
      <w:tr>
        <w:trPr/>
        <w:tc>
          <w:tcPr>
            <w:tcW w:w="6770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overflowPunct w:val="false"/>
              <w:spacing w:lineRule="auto" w:line="240" w:before="0" w:after="0"/>
              <w:contextualSpacing/>
              <w:rPr>
                <w:rFonts w:ascii="Calibri" w:hAnsi="Calibri" w:eastAsia="Calibri" w:cs="" w:asciiTheme="minorHAnsi" w:cstheme="minorBidi" w:eastAsiaTheme="minorHAnsi" w:hAnsiTheme="minorHAnsi"/>
                <w:szCs w:val="24"/>
                <w:lang w:eastAsia="en-US"/>
              </w:rPr>
            </w:pPr>
            <w:r>
              <w:rPr>
                <w:rFonts w:eastAsia="Calibri" w:cs="" w:cstheme="minorBidi" w:eastAsiaTheme="minorHAnsi" w:ascii="Calibri" w:hAnsi="Calibri"/>
                <w:szCs w:val="24"/>
                <w:lang w:eastAsia="en-US"/>
              </w:rPr>
            </w:r>
          </w:p>
        </w:tc>
        <w:tc>
          <w:tcPr>
            <w:tcW w:w="2441" w:type="dxa"/>
            <w:tcBorders/>
            <w:shd w:fill="auto" w:val="clear"/>
          </w:tcPr>
          <w:p>
            <w:pPr>
              <w:pStyle w:val="Normal"/>
              <w:overflowPunct w:val="false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Cs w:val="24"/>
                <w:lang w:eastAsia="en-US"/>
              </w:rPr>
            </w:pPr>
            <w:r>
              <w:rPr>
                <w:rFonts w:eastAsia="Calibri" w:cs="" w:cstheme="minorBidi" w:eastAsiaTheme="minorHAnsi" w:ascii="Calibri" w:hAnsi="Calibri"/>
                <w:szCs w:val="24"/>
                <w:lang w:eastAsia="en-US"/>
              </w:rPr>
            </w:r>
          </w:p>
        </w:tc>
      </w:tr>
      <w:tr>
        <w:trPr/>
        <w:tc>
          <w:tcPr>
            <w:tcW w:w="6770" w:type="dxa"/>
            <w:tcBorders/>
            <w:shd w:fill="auto" w:val="clear"/>
          </w:tcPr>
          <w:p>
            <w:pPr>
              <w:pStyle w:val="Normal"/>
              <w:overflowPunct w:val="false"/>
              <w:spacing w:lineRule="auto" w:line="240" w:before="0" w:after="0"/>
              <w:rPr>
                <w:rFonts w:ascii="Calibri" w:hAnsi="Calibri" w:eastAsia="Calibri" w:cs="" w:asciiTheme="minorHAnsi" w:cstheme="minorBidi" w:eastAsiaTheme="minorHAnsi" w:hAnsiTheme="minorHAnsi"/>
                <w:i/>
                <w:i/>
                <w:szCs w:val="24"/>
                <w:lang w:eastAsia="en-US"/>
              </w:rPr>
            </w:pPr>
            <w:r>
              <w:rPr>
                <w:rFonts w:eastAsia="Calibri" w:cs="" w:ascii="Calibri" w:hAnsi="Calibri" w:asciiTheme="minorHAnsi" w:cstheme="minorBidi" w:eastAsiaTheme="minorHAnsi" w:hAnsiTheme="minorHAnsi"/>
                <w:b/>
                <w:bCs/>
                <w:i/>
                <w:szCs w:val="24"/>
                <w:lang w:eastAsia="en-US"/>
              </w:rPr>
              <w:t>Ostatní - budova</w:t>
            </w:r>
          </w:p>
        </w:tc>
        <w:tc>
          <w:tcPr>
            <w:tcW w:w="2441" w:type="dxa"/>
            <w:tcBorders/>
            <w:shd w:fill="auto" w:val="clear"/>
          </w:tcPr>
          <w:p>
            <w:pPr>
              <w:pStyle w:val="Normal"/>
              <w:overflowPunct w:val="false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Cs w:val="24"/>
                <w:lang w:eastAsia="en-US"/>
              </w:rPr>
            </w:pPr>
            <w:r>
              <w:rPr>
                <w:rFonts w:eastAsia="Calibri" w:cs="" w:cstheme="minorBidi" w:eastAsiaTheme="minorHAnsi" w:ascii="Calibri" w:hAnsi="Calibri"/>
                <w:szCs w:val="24"/>
                <w:lang w:eastAsia="en-US"/>
              </w:rPr>
            </w:r>
          </w:p>
        </w:tc>
      </w:tr>
      <w:tr>
        <w:trPr/>
        <w:tc>
          <w:tcPr>
            <w:tcW w:w="6770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overflowPunct w:val="false"/>
              <w:spacing w:lineRule="auto" w:line="240" w:before="0" w:after="0"/>
              <w:contextualSpacing/>
              <w:rPr>
                <w:rFonts w:ascii="Calibri" w:hAnsi="Calibri" w:eastAsia="Calibri" w:cs="" w:asciiTheme="minorHAnsi" w:cstheme="minorBidi" w:eastAsiaTheme="minorHAnsi" w:hAnsiTheme="minorHAnsi"/>
                <w:szCs w:val="24"/>
                <w:lang w:eastAsia="en-US"/>
              </w:rPr>
            </w:pPr>
            <w:r>
              <w:rPr>
                <w:rFonts w:eastAsia="Calibri" w:cs="" w:ascii="Calibri" w:hAnsi="Calibri" w:asciiTheme="minorHAnsi" w:cstheme="minorBidi" w:eastAsiaTheme="minorHAnsi" w:hAnsiTheme="minorHAnsi"/>
                <w:szCs w:val="24"/>
                <w:lang w:eastAsia="en-US"/>
              </w:rPr>
              <w:t>Nátěr trubek technického zařízení</w:t>
            </w:r>
          </w:p>
          <w:p>
            <w:pPr>
              <w:pStyle w:val="Normal"/>
              <w:numPr>
                <w:ilvl w:val="0"/>
                <w:numId w:val="2"/>
              </w:numPr>
              <w:overflowPunct w:val="false"/>
              <w:spacing w:lineRule="auto" w:line="240" w:before="0" w:after="0"/>
              <w:contextualSpacing/>
              <w:rPr>
                <w:rFonts w:ascii="Calibri" w:hAnsi="Calibri" w:eastAsia="Calibri" w:cs="" w:asciiTheme="minorHAnsi" w:cstheme="minorBidi" w:eastAsiaTheme="minorHAnsi" w:hAnsiTheme="minorHAnsi"/>
                <w:szCs w:val="24"/>
                <w:lang w:eastAsia="en-US"/>
              </w:rPr>
            </w:pPr>
            <w:r>
              <w:rPr>
                <w:rFonts w:eastAsia="Calibri" w:cs="" w:ascii="Calibri" w:hAnsi="Calibri" w:asciiTheme="minorHAnsi" w:cstheme="minorBidi" w:eastAsiaTheme="minorHAnsi" w:hAnsiTheme="minorHAnsi"/>
                <w:szCs w:val="24"/>
                <w:lang w:eastAsia="en-US"/>
              </w:rPr>
              <w:t>Vyklizení nepotřebného ze dvora a přístřešků</w:t>
            </w:r>
          </w:p>
          <w:p>
            <w:pPr>
              <w:pStyle w:val="Normal"/>
              <w:numPr>
                <w:ilvl w:val="0"/>
                <w:numId w:val="2"/>
              </w:numPr>
              <w:overflowPunct w:val="false"/>
              <w:spacing w:lineRule="auto" w:line="240" w:before="0" w:after="0"/>
              <w:contextualSpacing/>
              <w:rPr>
                <w:rFonts w:ascii="Calibri" w:hAnsi="Calibri" w:eastAsia="Calibri" w:cs="" w:asciiTheme="minorHAnsi" w:cstheme="minorBidi" w:eastAsiaTheme="minorHAnsi" w:hAnsiTheme="minorHAnsi"/>
                <w:szCs w:val="24"/>
                <w:lang w:eastAsia="en-US"/>
              </w:rPr>
            </w:pPr>
            <w:r>
              <w:rPr>
                <w:rFonts w:eastAsia="Calibri" w:cs="" w:ascii="Calibri" w:hAnsi="Calibri" w:asciiTheme="minorHAnsi" w:cstheme="minorBidi" w:eastAsiaTheme="minorHAnsi" w:hAnsiTheme="minorHAnsi"/>
                <w:szCs w:val="24"/>
                <w:lang w:eastAsia="en-US"/>
              </w:rPr>
              <w:t>Úprava travního porostu</w:t>
            </w:r>
          </w:p>
          <w:p>
            <w:pPr>
              <w:pStyle w:val="Normal"/>
              <w:numPr>
                <w:ilvl w:val="0"/>
                <w:numId w:val="2"/>
              </w:numPr>
              <w:overflowPunct w:val="false"/>
              <w:spacing w:lineRule="auto" w:line="240" w:before="0" w:after="0"/>
              <w:contextualSpacing/>
              <w:rPr/>
            </w:pPr>
            <w:r>
              <w:rPr>
                <w:rFonts w:eastAsia="Calibri" w:cs="" w:ascii="Calibri" w:hAnsi="Calibri" w:asciiTheme="minorHAnsi" w:cstheme="minorBidi" w:eastAsiaTheme="minorHAnsi" w:hAnsiTheme="minorHAnsi"/>
                <w:szCs w:val="24"/>
                <w:lang w:eastAsia="en-US"/>
              </w:rPr>
              <w:t>nová fasáda</w:t>
            </w:r>
          </w:p>
          <w:p>
            <w:pPr>
              <w:pStyle w:val="Normal"/>
              <w:numPr>
                <w:ilvl w:val="0"/>
                <w:numId w:val="2"/>
              </w:numPr>
              <w:overflowPunct w:val="false"/>
              <w:spacing w:lineRule="auto" w:line="240" w:before="0" w:after="0"/>
              <w:contextualSpacing/>
              <w:rPr/>
            </w:pPr>
            <w:r>
              <w:rPr>
                <w:rFonts w:eastAsia="Calibri" w:cs="" w:ascii="Calibri" w:hAnsi="Calibri" w:asciiTheme="minorHAnsi" w:cstheme="minorBidi" w:eastAsiaTheme="minorHAnsi" w:hAnsiTheme="minorHAnsi"/>
                <w:szCs w:val="24"/>
                <w:lang w:eastAsia="en-US"/>
              </w:rPr>
              <w:t>Oprava chodníku u ŠJ, oprava všech chodníků kolem školy,</w:t>
            </w:r>
          </w:p>
          <w:p>
            <w:pPr>
              <w:pStyle w:val="Normal"/>
              <w:numPr>
                <w:ilvl w:val="0"/>
                <w:numId w:val="2"/>
              </w:numPr>
              <w:overflowPunct w:val="false"/>
              <w:spacing w:lineRule="auto" w:line="240" w:before="0" w:after="0"/>
              <w:contextualSpacing/>
              <w:rPr/>
            </w:pPr>
            <w:r>
              <w:rPr>
                <w:rFonts w:eastAsia="Calibri" w:cs="" w:ascii="Calibri" w:hAnsi="Calibri" w:asciiTheme="minorHAnsi" w:cstheme="minorBidi" w:eastAsiaTheme="minorHAnsi" w:hAnsiTheme="minorHAnsi"/>
                <w:szCs w:val="24"/>
                <w:lang w:eastAsia="en-US"/>
              </w:rPr>
              <w:t>hřiště pro TV !!!!</w:t>
            </w:r>
          </w:p>
        </w:tc>
        <w:tc>
          <w:tcPr>
            <w:tcW w:w="2441" w:type="dxa"/>
            <w:tcBorders/>
            <w:shd w:fill="auto" w:val="clear"/>
          </w:tcPr>
          <w:p>
            <w:pPr>
              <w:pStyle w:val="Normal"/>
              <w:overflowPunct w:val="false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Cs w:val="24"/>
                <w:lang w:eastAsia="en-US"/>
              </w:rPr>
            </w:pPr>
            <w:r>
              <w:rPr>
                <w:rFonts w:eastAsia="Calibri" w:cs="" w:cstheme="minorBidi" w:eastAsiaTheme="minorHAnsi" w:ascii="Calibri" w:hAnsi="Calibri"/>
                <w:szCs w:val="24"/>
                <w:lang w:eastAsia="en-US"/>
              </w:rPr>
            </w:r>
          </w:p>
        </w:tc>
      </w:tr>
      <w:tr>
        <w:trPr/>
        <w:tc>
          <w:tcPr>
            <w:tcW w:w="6770" w:type="dxa"/>
            <w:tcBorders/>
            <w:shd w:fill="auto" w:val="clear"/>
          </w:tcPr>
          <w:p>
            <w:pPr>
              <w:pStyle w:val="Normal"/>
              <w:overflowPunct w:val="false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b/>
                <w:b/>
                <w:sz w:val="32"/>
                <w:szCs w:val="32"/>
                <w:lang w:eastAsia="en-US"/>
              </w:rPr>
            </w:pPr>
            <w:r>
              <w:rPr>
                <w:rFonts w:eastAsia="Calibri" w:cs="" w:ascii="Calibri" w:hAnsi="Calibri" w:asciiTheme="minorHAnsi" w:cstheme="minorBidi" w:eastAsiaTheme="minorHAnsi" w:hAnsiTheme="minorHAnsi"/>
                <w:b/>
                <w:sz w:val="32"/>
                <w:szCs w:val="32"/>
                <w:lang w:eastAsia="en-US"/>
              </w:rPr>
              <w:t>Mateřská škola</w:t>
            </w:r>
          </w:p>
        </w:tc>
        <w:tc>
          <w:tcPr>
            <w:tcW w:w="2441" w:type="dxa"/>
            <w:tcBorders/>
            <w:shd w:fill="auto" w:val="clear"/>
          </w:tcPr>
          <w:p>
            <w:pPr>
              <w:pStyle w:val="Normal"/>
              <w:overflowPunct w:val="false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Cs w:val="24"/>
                <w:lang w:eastAsia="en-US"/>
              </w:rPr>
            </w:pPr>
            <w:r>
              <w:rPr>
                <w:rFonts w:eastAsia="Calibri" w:cs="" w:cstheme="minorBidi" w:eastAsiaTheme="minorHAnsi" w:ascii="Calibri" w:hAnsi="Calibri"/>
                <w:szCs w:val="24"/>
                <w:lang w:eastAsia="en-US"/>
              </w:rPr>
            </w:r>
          </w:p>
        </w:tc>
      </w:tr>
      <w:tr>
        <w:trPr/>
        <w:tc>
          <w:tcPr>
            <w:tcW w:w="6770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overflowPunct w:val="false"/>
              <w:spacing w:lineRule="auto" w:line="240" w:before="0" w:after="0"/>
              <w:contextualSpacing/>
              <w:rPr/>
            </w:pPr>
            <w:r>
              <w:rPr>
                <w:rFonts w:eastAsia="Calibri" w:cs="" w:ascii="Calibri" w:hAnsi="Calibri" w:asciiTheme="minorHAnsi" w:cstheme="minorBidi" w:eastAsiaTheme="minorHAnsi" w:hAnsiTheme="minorHAnsi"/>
                <w:szCs w:val="24"/>
                <w:lang w:eastAsia="en-US"/>
              </w:rPr>
              <w:t>Úprava terénu zahrady, bezpečný přístup dětí do MŠ</w:t>
            </w:r>
          </w:p>
          <w:p>
            <w:pPr>
              <w:pStyle w:val="Normal"/>
              <w:numPr>
                <w:ilvl w:val="0"/>
                <w:numId w:val="2"/>
              </w:numPr>
              <w:overflowPunct w:val="false"/>
              <w:spacing w:lineRule="auto" w:line="240" w:before="0" w:after="0"/>
              <w:contextualSpacing/>
              <w:rPr/>
            </w:pPr>
            <w:r>
              <w:rPr>
                <w:rFonts w:eastAsia="Calibri" w:cs="" w:ascii="Calibri" w:hAnsi="Calibri" w:asciiTheme="minorHAnsi" w:cstheme="minorBidi" w:eastAsiaTheme="minorHAnsi" w:hAnsiTheme="minorHAnsi"/>
                <w:szCs w:val="24"/>
                <w:lang w:eastAsia="en-US"/>
              </w:rPr>
              <w:t>nová střecha a fasáda, nový chodník kolem budovy v zahradě</w:t>
            </w:r>
          </w:p>
          <w:p>
            <w:pPr>
              <w:pStyle w:val="Normal"/>
              <w:numPr>
                <w:ilvl w:val="0"/>
                <w:numId w:val="2"/>
              </w:numPr>
              <w:overflowPunct w:val="false"/>
              <w:spacing w:lineRule="auto" w:line="240" w:before="0" w:after="0"/>
              <w:contextualSpacing/>
              <w:rPr/>
            </w:pPr>
            <w:r>
              <w:rPr>
                <w:rFonts w:eastAsia="Calibri" w:cs="" w:ascii="Calibri" w:hAnsi="Calibri" w:asciiTheme="minorHAnsi" w:cstheme="minorBidi" w:eastAsiaTheme="minorHAnsi" w:hAnsiTheme="minorHAnsi"/>
                <w:szCs w:val="24"/>
                <w:lang w:eastAsia="en-US"/>
              </w:rPr>
              <w:t>zprovoznění bezpečného vchodu do areálu ( zadní vchod )</w:t>
            </w:r>
          </w:p>
          <w:p>
            <w:pPr>
              <w:pStyle w:val="Normal"/>
              <w:numPr>
                <w:ilvl w:val="0"/>
                <w:numId w:val="2"/>
              </w:numPr>
              <w:overflowPunct w:val="false"/>
              <w:spacing w:lineRule="auto" w:line="240" w:before="0" w:after="0"/>
              <w:contextualSpacing/>
              <w:rPr/>
            </w:pPr>
            <w:r>
              <w:rPr>
                <w:rFonts w:eastAsia="Calibri" w:cs="" w:ascii="Calibri" w:hAnsi="Calibri" w:asciiTheme="minorHAnsi" w:cstheme="minorBidi" w:eastAsiaTheme="minorHAnsi" w:hAnsiTheme="minorHAnsi"/>
                <w:szCs w:val="24"/>
                <w:lang w:eastAsia="en-US"/>
              </w:rPr>
              <w:t>oprava zdiva sklepa</w:t>
            </w:r>
          </w:p>
        </w:tc>
        <w:tc>
          <w:tcPr>
            <w:tcW w:w="2441" w:type="dxa"/>
            <w:tcBorders/>
            <w:shd w:fill="auto" w:val="clear"/>
          </w:tcPr>
          <w:p>
            <w:pPr>
              <w:pStyle w:val="Normal"/>
              <w:overflowPunct w:val="false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szCs w:val="24"/>
                <w:lang w:eastAsia="en-US"/>
              </w:rPr>
            </w:pPr>
            <w:r>
              <w:rPr>
                <w:rFonts w:eastAsia="Calibri" w:cs="" w:cstheme="minorBidi" w:eastAsiaTheme="minorHAnsi" w:ascii="Calibri" w:hAnsi="Calibri"/>
                <w:szCs w:val="24"/>
                <w:lang w:eastAsia="en-US"/>
              </w:rPr>
            </w:r>
          </w:p>
        </w:tc>
      </w:tr>
    </w:tbl>
    <w:p>
      <w:pPr>
        <w:pStyle w:val="Normal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OBLAST PERSONÁLNÍ</w:t>
      </w:r>
    </w:p>
    <w:p>
      <w:pPr>
        <w:pStyle w:val="Normal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tbl>
      <w:tblPr>
        <w:tblStyle w:val="Mkatabulky"/>
        <w:tblW w:w="921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12"/>
      </w:tblGrid>
      <w:tr>
        <w:trPr/>
        <w:tc>
          <w:tcPr>
            <w:tcW w:w="9212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szCs w:val="24"/>
              </w:rPr>
            </w:pPr>
            <w:r>
              <w:rPr>
                <w:b/>
                <w:bCs/>
                <w:i/>
                <w:iCs/>
                <w:szCs w:val="24"/>
              </w:rPr>
              <w:t>Zajistit plnou kvalifikovanost zaměstnanců –</w:t>
            </w:r>
            <w:r>
              <w:rPr>
                <w:szCs w:val="24"/>
              </w:rPr>
              <w:t xml:space="preserve"> podpora v získávání potřebných odborných znalostí, </w:t>
            </w:r>
          </w:p>
        </w:tc>
      </w:tr>
      <w:tr>
        <w:trPr/>
        <w:tc>
          <w:tcPr>
            <w:tcW w:w="9212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>
                <w:b/>
                <w:bCs/>
                <w:i/>
                <w:iCs/>
                <w:szCs w:val="24"/>
              </w:rPr>
              <w:t>Promyšlený výběr zaměstnanců školy vzhledem k udržení chodu školy</w:t>
            </w:r>
            <w:r>
              <w:rPr>
                <w:szCs w:val="24"/>
              </w:rPr>
              <w:t xml:space="preserve">, ke kvalitě výuky a náročnosti práce </w:t>
            </w:r>
            <w:r>
              <w:rPr>
                <w:b/>
                <w:bCs/>
                <w:szCs w:val="24"/>
              </w:rPr>
              <w:t>na málotřídní škole</w:t>
            </w:r>
          </w:p>
        </w:tc>
      </w:tr>
      <w:tr>
        <w:trPr/>
        <w:tc>
          <w:tcPr>
            <w:tcW w:w="9212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szCs w:val="24"/>
              </w:rPr>
            </w:pPr>
            <w:r>
              <w:rPr>
                <w:szCs w:val="24"/>
              </w:rPr>
              <w:t>Delegování úkolů kompetentním pracovníkům</w:t>
            </w:r>
          </w:p>
        </w:tc>
      </w:tr>
      <w:tr>
        <w:trPr/>
        <w:tc>
          <w:tcPr>
            <w:tcW w:w="9212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szCs w:val="24"/>
              </w:rPr>
            </w:pPr>
            <w:r>
              <w:rPr>
                <w:szCs w:val="24"/>
              </w:rPr>
              <w:t>Zaměřit se na  DVVP vzhledem ke zkvalitnění práce ve škole ve všech oblastech, zejména se zaměřit na společné vzdělávání</w:t>
            </w:r>
          </w:p>
        </w:tc>
      </w:tr>
      <w:tr>
        <w:trPr/>
        <w:tc>
          <w:tcPr>
            <w:tcW w:w="9212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Podporovat </w:t>
            </w:r>
            <w:r>
              <w:rPr>
                <w:b/>
                <w:bCs/>
                <w:i/>
                <w:iCs/>
                <w:szCs w:val="24"/>
              </w:rPr>
              <w:t>klidnou a efektivní intenzivní výměnu informací a názorů</w:t>
            </w:r>
          </w:p>
        </w:tc>
      </w:tr>
      <w:tr>
        <w:trPr/>
        <w:tc>
          <w:tcPr>
            <w:tcW w:w="9212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szCs w:val="24"/>
              </w:rPr>
            </w:pPr>
            <w:r>
              <w:rPr>
                <w:b/>
                <w:bCs/>
                <w:i/>
                <w:iCs/>
                <w:szCs w:val="24"/>
              </w:rPr>
              <w:t>Sledovat a hodnotit přístup pedagogů k rodičů a žákům</w:t>
            </w:r>
          </w:p>
        </w:tc>
      </w:tr>
      <w:tr>
        <w:trPr/>
        <w:tc>
          <w:tcPr>
            <w:tcW w:w="9212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szCs w:val="24"/>
              </w:rPr>
            </w:pPr>
            <w:r>
              <w:rPr>
                <w:szCs w:val="24"/>
              </w:rPr>
              <w:t>Promyšleně a rovnoměrně delegovat úkoly vzhledem k zaměření pedagogů pro určitou oblast</w:t>
            </w:r>
          </w:p>
        </w:tc>
      </w:tr>
      <w:tr>
        <w:trPr/>
        <w:tc>
          <w:tcPr>
            <w:tcW w:w="9212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szCs w:val="24"/>
              </w:rPr>
            </w:pPr>
            <w:r>
              <w:rPr>
                <w:szCs w:val="24"/>
              </w:rPr>
              <w:t>Vytvářet vhodné klima pro aktivní otevřené rozbory vlastní a společné práce</w:t>
            </w:r>
          </w:p>
        </w:tc>
      </w:tr>
      <w:tr>
        <w:trPr/>
        <w:tc>
          <w:tcPr>
            <w:tcW w:w="9212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  <w:szCs w:val="24"/>
              </w:rPr>
              <w:t>Motivovat systémem vyplácení nadtarifních složek platu – práce s osobními příplatky . přehodnocovat vzhledem ke kvalitě práce a k zadaným úkolům</w:t>
            </w:r>
          </w:p>
        </w:tc>
      </w:tr>
    </w:tbl>
    <w:p>
      <w:pPr>
        <w:pStyle w:val="Normal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</w:r>
    </w:p>
    <w:p>
      <w:pPr>
        <w:pStyle w:val="Normal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</w:r>
    </w:p>
    <w:p>
      <w:pPr>
        <w:pStyle w:val="Normal"/>
        <w:rPr/>
      </w:pPr>
      <w:r>
        <w:rPr>
          <w:b/>
          <w:sz w:val="28"/>
          <w:szCs w:val="28"/>
          <w:u w:val="single"/>
        </w:rPr>
        <w:t>OBLAST INFORMAČNÍCH SYSTÉMŮ A KONTAKTŮ</w:t>
      </w:r>
    </w:p>
    <w:p>
      <w:pPr>
        <w:pStyle w:val="Normal"/>
        <w:rPr>
          <w:b/>
          <w:b/>
          <w:szCs w:val="24"/>
          <w:u w:val="single"/>
        </w:rPr>
      </w:pPr>
      <w:r>
        <w:rPr>
          <w:b/>
          <w:szCs w:val="24"/>
          <w:u w:val="single"/>
        </w:rPr>
      </w:r>
    </w:p>
    <w:tbl>
      <w:tblPr>
        <w:tblStyle w:val="Mkatabulky"/>
        <w:tblW w:w="921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12"/>
      </w:tblGrid>
      <w:tr>
        <w:trPr/>
        <w:tc>
          <w:tcPr>
            <w:tcW w:w="9212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>
                <w:szCs w:val="24"/>
              </w:rPr>
              <w:t xml:space="preserve">Zajistit kvalitní a pestrou informovanost o dění ve škole, o nabídce školy 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>
                <w:b/>
                <w:bCs/>
                <w:szCs w:val="24"/>
              </w:rPr>
              <w:t>WEB</w:t>
            </w:r>
            <w:r>
              <w:rPr>
                <w:szCs w:val="24"/>
              </w:rPr>
              <w:t xml:space="preserve"> – šablony – EU, aktivity po výuce, info. o pomoci dětem, </w:t>
            </w:r>
            <w:r>
              <w:rPr>
                <w:b/>
                <w:bCs/>
                <w:szCs w:val="24"/>
              </w:rPr>
              <w:t>místní tisk</w:t>
            </w:r>
          </w:p>
        </w:tc>
      </w:tr>
      <w:tr>
        <w:trPr/>
        <w:tc>
          <w:tcPr>
            <w:tcW w:w="9212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>
                <w:szCs w:val="24"/>
              </w:rPr>
              <w:t xml:space="preserve">Informace o chodu školy – výuky předávat v písemné podobě – Deníček, ŽK, </w:t>
            </w:r>
            <w:r>
              <w:rPr>
                <w:b/>
                <w:bCs/>
                <w:szCs w:val="24"/>
              </w:rPr>
              <w:t>e-mail, i v</w:t>
            </w:r>
            <w:r>
              <w:rPr>
                <w:szCs w:val="24"/>
              </w:rPr>
              <w:t xml:space="preserve"> </w:t>
            </w:r>
            <w:r>
              <w:rPr>
                <w:b/>
                <w:bCs/>
                <w:szCs w:val="24"/>
              </w:rPr>
              <w:t>MŠ</w:t>
            </w:r>
          </w:p>
        </w:tc>
      </w:tr>
      <w:tr>
        <w:trPr/>
        <w:tc>
          <w:tcPr>
            <w:tcW w:w="9212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szCs w:val="24"/>
              </w:rPr>
            </w:pPr>
            <w:r>
              <w:rPr>
                <w:szCs w:val="24"/>
              </w:rPr>
              <w:t>Informovat veřejnost o dění ve škole prostřednictvím místního tisku a webových stránek školy a zřizovatele</w:t>
            </w:r>
          </w:p>
        </w:tc>
      </w:tr>
      <w:tr>
        <w:trPr/>
        <w:tc>
          <w:tcPr>
            <w:tcW w:w="9212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  <w:szCs w:val="24"/>
              </w:rPr>
              <w:t>Prezentovat práci školy formou akcí pro rodiče a místní veřejnost, ( spolupráce se spolky, důchodci, obcí )</w:t>
            </w:r>
          </w:p>
        </w:tc>
      </w:tr>
      <w:tr>
        <w:trPr/>
        <w:tc>
          <w:tcPr>
            <w:tcW w:w="9212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0"/>
              </w:numPr>
              <w:spacing w:lineRule="auto" w:line="240" w:before="0" w:after="0"/>
              <w:ind w:left="1080" w:hanging="0"/>
              <w:contextualSpacing/>
              <w:rPr/>
            </w:pPr>
            <w:r>
              <w:rPr>
                <w:szCs w:val="24"/>
              </w:rPr>
              <w:t>Zpracovávat výstupy ze školy – výroční zpráva, tisk, web</w:t>
            </w:r>
          </w:p>
        </w:tc>
      </w:tr>
      <w:tr>
        <w:trPr/>
        <w:tc>
          <w:tcPr>
            <w:tcW w:w="9212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szCs w:val="24"/>
              </w:rPr>
            </w:pPr>
            <w:r>
              <w:rPr>
                <w:szCs w:val="24"/>
              </w:rPr>
              <w:t>Poskytnou informace o dění ve škole rodičům, kteří nemají možnost přístupu k internetu formou písemného sdělení</w:t>
            </w:r>
          </w:p>
        </w:tc>
      </w:tr>
      <w:tr>
        <w:trPr/>
        <w:tc>
          <w:tcPr>
            <w:tcW w:w="9212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  <w:szCs w:val="24"/>
              </w:rPr>
              <w:t>Komunikovat s rodinou prostřednictvím e-mailu, telefonu,..</w:t>
            </w:r>
          </w:p>
        </w:tc>
      </w:tr>
      <w:tr>
        <w:trPr/>
        <w:tc>
          <w:tcPr>
            <w:tcW w:w="9212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szCs w:val="24"/>
              </w:rPr>
            </w:pPr>
            <w:r>
              <w:rPr>
                <w:b/>
                <w:bCs/>
                <w:i/>
                <w:iCs/>
                <w:szCs w:val="24"/>
              </w:rPr>
              <w:t>Spolupracovat s okolními školami,</w:t>
            </w:r>
            <w:r>
              <w:rPr>
                <w:szCs w:val="24"/>
              </w:rPr>
              <w:t xml:space="preserve"> soutěže, akce</w:t>
            </w:r>
          </w:p>
        </w:tc>
      </w:tr>
      <w:tr>
        <w:trPr/>
        <w:tc>
          <w:tcPr>
            <w:tcW w:w="9212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szCs w:val="24"/>
              </w:rPr>
            </w:pPr>
            <w:r>
              <w:rPr>
                <w:szCs w:val="24"/>
              </w:rPr>
              <w:t>Vytvářet vhodné a efektivní dotazníky k oblasti evaluace, autoevaluace / i žáci /</w:t>
            </w:r>
          </w:p>
        </w:tc>
      </w:tr>
      <w:tr>
        <w:trPr/>
        <w:tc>
          <w:tcPr>
            <w:tcW w:w="9212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>
                <w:szCs w:val="24"/>
              </w:rPr>
              <w:t>Zapojit rodiče do aktivní spolupráce –</w:t>
            </w:r>
            <w:r>
              <w:rPr>
                <w:b/>
                <w:bCs/>
                <w:i/>
                <w:iCs/>
                <w:szCs w:val="24"/>
              </w:rPr>
              <w:t xml:space="preserve"> rodič odborník</w:t>
            </w:r>
          </w:p>
        </w:tc>
      </w:tr>
      <w:tr>
        <w:trPr/>
        <w:tc>
          <w:tcPr>
            <w:tcW w:w="9212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szCs w:val="24"/>
              </w:rPr>
            </w:pPr>
            <w:r>
              <w:rPr>
                <w:szCs w:val="24"/>
              </w:rPr>
              <w:t>Docílit toho, aby rodiče měli zájem se informovat o výsledcích žáků častěji než jen formou pravidelných třídních schůzek</w:t>
            </w:r>
          </w:p>
        </w:tc>
      </w:tr>
    </w:tbl>
    <w:p>
      <w:pPr>
        <w:pStyle w:val="Normal"/>
        <w:rPr>
          <w:b/>
          <w:b/>
          <w:szCs w:val="24"/>
          <w:u w:val="single"/>
        </w:rPr>
      </w:pPr>
      <w:r>
        <w:rPr>
          <w:b/>
          <w:szCs w:val="24"/>
          <w:u w:val="single"/>
        </w:rPr>
      </w:r>
    </w:p>
    <w:p>
      <w:pPr>
        <w:pStyle w:val="Normal"/>
        <w:rPr>
          <w:b/>
          <w:b/>
          <w:szCs w:val="24"/>
          <w:u w:val="single"/>
        </w:rPr>
      </w:pPr>
      <w:r>
        <w:rPr>
          <w:b/>
          <w:szCs w:val="24"/>
          <w:u w:val="single"/>
        </w:rPr>
      </w:r>
    </w:p>
    <w:p>
      <w:pPr>
        <w:pStyle w:val="Normal"/>
        <w:rPr>
          <w:b/>
          <w:b/>
          <w:szCs w:val="24"/>
          <w:u w:val="single"/>
        </w:rPr>
      </w:pPr>
      <w:r>
        <w:rPr>
          <w:b/>
          <w:szCs w:val="24"/>
          <w:u w:val="single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Calibri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rFonts w:cs="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d6469"/>
    <w:pPr>
      <w:widowControl/>
      <w:overflowPunct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cs-CZ" w:eastAsia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a3536d"/>
    <w:rPr>
      <w:rFonts w:ascii="Tahoma" w:hAnsi="Tahoma" w:eastAsia="Times New Roman" w:cs="Tahoma"/>
      <w:sz w:val="16"/>
      <w:szCs w:val="16"/>
      <w:lang w:eastAsia="cs-CZ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7d5016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a3536d"/>
    <w:pPr/>
    <w:rPr>
      <w:rFonts w:ascii="Tahoma" w:hAnsi="Tahoma" w:cs="Tahoma"/>
      <w:sz w:val="16"/>
      <w:szCs w:val="16"/>
    </w:rPr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7d501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Mkatabulky1">
    <w:name w:val="Mřížka tabulky1"/>
    <w:basedOn w:val="Normlntabulka"/>
    <w:uiPriority w:val="59"/>
    <w:rsid w:val="00a16d0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Mkatabulky2">
    <w:name w:val="Mřížka tabulky2"/>
    <w:basedOn w:val="Normlntabulka"/>
    <w:uiPriority w:val="59"/>
    <w:rsid w:val="006b518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5B9AF-CB70-4B5B-BF30-7EE7CC939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Application>LibreOffice/6.3.4.2$Windows_X86_64 LibreOffice_project/60da17e045e08f1793c57c00ba83cdfce946d0aa</Application>
  <Pages>7</Pages>
  <Words>1912</Words>
  <Characters>11300</Characters>
  <CharactersWithSpaces>13027</CharactersWithSpaces>
  <Paragraphs>161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2012-09-15T16:38:00Z</dcterms:created>
  <dc:creator>pc4</dc:creator>
  <dc:description/>
  <dc:language>cs-CZ</dc:language>
  <cp:lastModifiedBy/>
  <dcterms:modified xsi:type="dcterms:W3CDTF">2021-09-27T13:34:12Z</dcterms:modified>
  <cp:revision>156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