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69" w:rsidRPr="00305469" w:rsidRDefault="00305469" w:rsidP="00305469">
      <w:pPr>
        <w:shd w:val="clear" w:color="auto" w:fill="ECF2F8"/>
        <w:spacing w:before="210" w:after="90" w:line="240" w:lineRule="auto"/>
        <w:outlineLvl w:val="2"/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</w:pPr>
      <w:r w:rsidRPr="00305469"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  <w:t xml:space="preserve">Vzdělávací program 26 - 41 - N Elektrotechnika – </w:t>
      </w:r>
      <w:proofErr w:type="spellStart"/>
      <w:r w:rsidRPr="00305469"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  <w:t>mechatronické</w:t>
      </w:r>
      <w:proofErr w:type="spellEnd"/>
      <w:r w:rsidRPr="00305469"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  <w:t xml:space="preserve"> systémy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br/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má tři zaměřeni: </w:t>
      </w:r>
    </w:p>
    <w:p w:rsidR="00305469" w:rsidRPr="00305469" w:rsidRDefault="00305469" w:rsidP="00305469">
      <w:pPr>
        <w:numPr>
          <w:ilvl w:val="0"/>
          <w:numId w:val="1"/>
        </w:numPr>
        <w:shd w:val="clear" w:color="auto" w:fill="ECF2F8"/>
        <w:spacing w:after="0" w:line="270" w:lineRule="atLeast"/>
        <w:ind w:left="75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hyperlink r:id="rId5" w:anchor="Mechatronika" w:history="1">
        <w:proofErr w:type="spellStart"/>
        <w:r w:rsidRPr="00305469">
          <w:rPr>
            <w:rFonts w:ascii="Trebuchet MS" w:eastAsia="Times New Roman" w:hAnsi="Trebuchet MS" w:cs="Times New Roman"/>
            <w:b/>
            <w:bCs/>
            <w:color w:val="0E731A"/>
            <w:sz w:val="18"/>
            <w:szCs w:val="18"/>
            <w:u w:val="single"/>
            <w:lang w:eastAsia="cs-CZ"/>
          </w:rPr>
          <w:t>Mechatronika</w:t>
        </w:r>
        <w:proofErr w:type="spellEnd"/>
      </w:hyperlink>
    </w:p>
    <w:p w:rsidR="00305469" w:rsidRPr="00305469" w:rsidRDefault="00305469" w:rsidP="00305469">
      <w:pPr>
        <w:numPr>
          <w:ilvl w:val="0"/>
          <w:numId w:val="1"/>
        </w:numPr>
        <w:shd w:val="clear" w:color="auto" w:fill="ECF2F8"/>
        <w:spacing w:after="0" w:line="270" w:lineRule="atLeast"/>
        <w:ind w:left="75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hyperlink r:id="rId6" w:anchor="Inform" w:history="1">
        <w:r w:rsidRPr="00305469">
          <w:rPr>
            <w:rFonts w:ascii="Trebuchet MS" w:eastAsia="Times New Roman" w:hAnsi="Trebuchet MS" w:cs="Times New Roman"/>
            <w:b/>
            <w:bCs/>
            <w:color w:val="0E731A"/>
            <w:sz w:val="18"/>
            <w:szCs w:val="18"/>
            <w:u w:val="single"/>
            <w:lang w:eastAsia="cs-CZ"/>
          </w:rPr>
          <w:t>Informační a řídicí technika</w:t>
        </w:r>
      </w:hyperlink>
    </w:p>
    <w:p w:rsidR="00305469" w:rsidRPr="00305469" w:rsidRDefault="00305469" w:rsidP="00305469">
      <w:pPr>
        <w:numPr>
          <w:ilvl w:val="0"/>
          <w:numId w:val="1"/>
        </w:numPr>
        <w:shd w:val="clear" w:color="auto" w:fill="ECF2F8"/>
        <w:spacing w:after="0" w:line="270" w:lineRule="atLeast"/>
        <w:ind w:left="75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hyperlink r:id="rId7" w:anchor="Automatizace" w:history="1">
        <w:r w:rsidRPr="00305469">
          <w:rPr>
            <w:rFonts w:ascii="Trebuchet MS" w:eastAsia="Times New Roman" w:hAnsi="Trebuchet MS" w:cs="Times New Roman"/>
            <w:b/>
            <w:bCs/>
            <w:color w:val="0E731A"/>
            <w:sz w:val="18"/>
            <w:szCs w:val="18"/>
            <w:u w:val="single"/>
            <w:lang w:eastAsia="cs-CZ"/>
          </w:rPr>
          <w:t>Automatizace v energetice</w:t>
        </w:r>
      </w:hyperlink>
    </w:p>
    <w:p w:rsidR="00305469" w:rsidRPr="00305469" w:rsidRDefault="00305469" w:rsidP="00305469">
      <w:pPr>
        <w:shd w:val="clear" w:color="auto" w:fill="ECF2F8"/>
        <w:spacing w:before="120" w:after="120" w:line="270" w:lineRule="atLeast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Studenti si volí zaměření po prvním společném (vyrovnávacím) ročníku.</w:t>
      </w:r>
    </w:p>
    <w:p w:rsidR="00305469" w:rsidRPr="00305469" w:rsidRDefault="00305469" w:rsidP="00305469">
      <w:pPr>
        <w:shd w:val="clear" w:color="auto" w:fill="ECF2F8"/>
        <w:spacing w:before="210" w:after="90" w:line="240" w:lineRule="auto"/>
        <w:outlineLvl w:val="2"/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</w:pPr>
      <w:r w:rsidRPr="00305469"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  <w:t>Stručná charakteristika jednotlivých zaměření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noProof/>
          <w:color w:val="0E731A"/>
          <w:sz w:val="18"/>
          <w:szCs w:val="18"/>
          <w:lang w:eastAsia="cs-CZ"/>
        </w:rPr>
        <w:drawing>
          <wp:inline distT="0" distB="0" distL="0" distR="0">
            <wp:extent cx="1432560" cy="952500"/>
            <wp:effectExtent l="0" t="0" r="0" b="0"/>
            <wp:docPr id="4" name="Obrázek 4" descr="Studenti při výuce - Mechatronika">
              <a:hlinkClick xmlns:a="http://schemas.openxmlformats.org/drawingml/2006/main" r:id="rId8" tooltip="&quot;Studenti při výuce - Mechatronik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i při výuce - Mechatronika">
                      <a:hlinkClick r:id="rId8" tooltip="&quot;Studenti při výuce - Mechatronik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Zaměření </w:t>
      </w:r>
      <w:proofErr w:type="spellStart"/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Mechatronika</w:t>
      </w:r>
      <w:proofErr w:type="spellEnd"/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 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představuje synergickou integraci strojírenství, elektrotechniky a počítačového řízení. Jedná se o moderní technický obor, který se zabývá analýzou, syntézou a provozem počítačově řízených  a programovatelných strojů, procesů a zařízení.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Mechatronický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 přístup je nezbytný zejména ve fázích vývoje a výroby, kdy nový produkt získává nové dimenze funkčnosti a stále větší míru inteligence (programovatelnost,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samoregulovatelnost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, adaptivita,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samodiagnostika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, komunikace,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samoopravovatelnost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, a podobně).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Mechatronické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 vzdělání podporuje paralelní inženýrství – systémový a týmový přístup k vývoji a inovaci technických objektů.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Mechatronik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 disponuje novými schopnostmi a dovednostmi: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interdisciplinárnost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, systémovost, kreativita. Moderní přístupy ve vývoji a výrobě jsou dnes silně podporovány softwarovými prostředky.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noProof/>
          <w:color w:val="0E731A"/>
          <w:sz w:val="18"/>
          <w:szCs w:val="18"/>
          <w:lang w:eastAsia="cs-CZ"/>
        </w:rPr>
        <w:drawing>
          <wp:inline distT="0" distB="0" distL="0" distR="0">
            <wp:extent cx="1432560" cy="952500"/>
            <wp:effectExtent l="0" t="0" r="0" b="0"/>
            <wp:docPr id="3" name="Obrázek 3" descr="Studenti při výuce - Informační a řídicí technika">
              <a:hlinkClick xmlns:a="http://schemas.openxmlformats.org/drawingml/2006/main" r:id="rId10" tooltip="&quot;Studenti při výuce - Informační a řídicí technik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enti při výuce - Informační a řídicí technika">
                      <a:hlinkClick r:id="rId10" tooltip="&quot;Studenti při výuce - Informační a řídicí technik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Zaměření </w:t>
      </w: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Informační a řídicí technika 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je orientováno zejména na analýzu chování systémů, tvorbu jejich počítačových modelů, vizualizaci, návrh a realizaci řídicích algoritmů, programování řídicích systémů (především PLC), návrh regulačních obvodů a programování (C#, webové aplikace). Studenti pracují s moderními řídicími technologiemi a kvalitním počítačovým vybavením. Mnohé učební pomůcky pro modelování a řízení systémů byly vytvořeny v rámci </w:t>
      </w:r>
      <w:hyperlink r:id="rId12" w:tgtFrame="_blank" w:tooltip="Absolventské práce" w:history="1">
        <w:r w:rsidRPr="00305469">
          <w:rPr>
            <w:rFonts w:ascii="Trebuchet MS" w:eastAsia="Times New Roman" w:hAnsi="Trebuchet MS" w:cs="Times New Roman"/>
            <w:color w:val="0E731A"/>
            <w:sz w:val="18"/>
            <w:szCs w:val="18"/>
            <w:u w:val="single"/>
            <w:lang w:eastAsia="cs-CZ"/>
          </w:rPr>
          <w:t>absolventských prací</w:t>
        </w:r>
      </w:hyperlink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noProof/>
          <w:color w:val="0E731A"/>
          <w:sz w:val="18"/>
          <w:szCs w:val="18"/>
          <w:lang w:eastAsia="cs-CZ"/>
        </w:rPr>
        <w:drawing>
          <wp:inline distT="0" distB="0" distL="0" distR="0">
            <wp:extent cx="1905000" cy="891540"/>
            <wp:effectExtent l="0" t="0" r="0" b="3810"/>
            <wp:docPr id="2" name="Obrázek 2" descr="Automatizace v energetice">
              <a:hlinkClick xmlns:a="http://schemas.openxmlformats.org/drawingml/2006/main" r:id="rId13" tooltip="&quot;Automatizace v energe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matizace v energetice">
                      <a:hlinkClick r:id="rId13" tooltip="&quot;Automatizace v energe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Zaměření </w:t>
      </w:r>
      <w:bookmarkStart w:id="0" w:name="Automatizace"/>
      <w:bookmarkEnd w:id="0"/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Automatizace v energetice 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je orientováno zejména na elektrické stroje (motory, transformátory), principy elektromechanických přeměn energie, přenos a rozvod elektrické energie, projektování a instalaci elektrického silnoproudého rozvodu v bytových i průmyslových objektech, dimenzování vodičů, základy jištění a uzemňování v rozvodech, výrobu elektrické energie a provoz elektroenergetických soustav.</w:t>
      </w:r>
    </w:p>
    <w:p w:rsidR="00305469" w:rsidRPr="00305469" w:rsidRDefault="00305469" w:rsidP="00305469">
      <w:pPr>
        <w:shd w:val="clear" w:color="auto" w:fill="ECF2F8"/>
        <w:spacing w:before="210" w:after="9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</w:pPr>
      <w:r w:rsidRPr="00305469">
        <w:rPr>
          <w:rFonts w:ascii="Trebuchet MS" w:eastAsia="Times New Roman" w:hAnsi="Trebuchet MS" w:cs="Times New Roman"/>
          <w:b/>
          <w:bCs/>
          <w:color w:val="6FA7E0"/>
          <w:sz w:val="24"/>
          <w:szCs w:val="24"/>
          <w:lang w:eastAsia="cs-CZ"/>
        </w:rPr>
        <w:t>Výuka na VOŠ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lastRenderedPageBreak/>
        <w:t>Teoretická příprava probíhá prostřednictvím přednášek, seminářů,</w:t>
      </w:r>
      <w:r w:rsidRPr="00305469">
        <w:rPr>
          <w:rFonts w:ascii="Trebuchet MS" w:eastAsia="Times New Roman" w:hAnsi="Trebuchet MS" w:cs="Times New Roman"/>
          <w:noProof/>
          <w:color w:val="0E731A"/>
          <w:sz w:val="18"/>
          <w:szCs w:val="18"/>
          <w:lang w:eastAsia="cs-CZ"/>
        </w:rPr>
        <w:drawing>
          <wp:inline distT="0" distB="0" distL="0" distR="0">
            <wp:extent cx="1905000" cy="1264920"/>
            <wp:effectExtent l="0" t="0" r="0" b="0"/>
            <wp:docPr id="1" name="Obrázek 1" descr="Programování PLC">
              <a:hlinkClick xmlns:a="http://schemas.openxmlformats.org/drawingml/2006/main" r:id="rId15" tooltip="&quot;Programování PL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gramování PLC">
                      <a:hlinkClick r:id="rId15" tooltip="&quot;Programování PL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 cvičení, exkurzí, domácí přípravy a konzultací v souladu s akreditovaným vzdělávacím programem. Jednotlivé předměty jsou vyučovány typicky metodou Přednáška – Domácí příprava – Cvičení – Domácí příprava. Látka je nejprve vyložena na přednášce. Student si ji nastuduje, tím se připraví na cvičení, kde je látka aktivně a důkladně procvičena (znalosti jsou prohloubeny a korigovány). Poté řeší v rámci domácí přípravy komplexnější úlohu (například v týmu) k dosažení hlubších dovedností a souvislostí.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Po </w:t>
      </w: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16 týdnech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 této výuky je </w:t>
      </w: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třítýdenní zkouškové období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, kdy může student uzavřít dané předměty.  Každý půlrok pořádáme prezentační den, kde studenti prezentují výsledky své práce a připravují  se tak systematicky na </w:t>
      </w:r>
      <w:r w:rsidRPr="00305469">
        <w:rPr>
          <w:rFonts w:ascii="Trebuchet MS" w:eastAsia="Times New Roman" w:hAnsi="Trebuchet MS" w:cs="Times New Roman"/>
          <w:b/>
          <w:bCs/>
          <w:color w:val="485E88"/>
          <w:sz w:val="18"/>
          <w:szCs w:val="18"/>
          <w:lang w:eastAsia="cs-CZ"/>
        </w:rPr>
        <w:t>závěrečné absolutorium</w:t>
      </w: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Obor Elektrotechnika -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mechatronické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 systémy je možné studovat </w:t>
      </w:r>
      <w:hyperlink r:id="rId17" w:tooltip="Kombinovaná forma studia" w:history="1">
        <w:r w:rsidRPr="00305469">
          <w:rPr>
            <w:rFonts w:ascii="Trebuchet MS" w:eastAsia="Times New Roman" w:hAnsi="Trebuchet MS" w:cs="Times New Roman"/>
            <w:color w:val="0E731A"/>
            <w:sz w:val="18"/>
            <w:szCs w:val="18"/>
            <w:u w:val="single"/>
            <w:lang w:eastAsia="cs-CZ"/>
          </w:rPr>
          <w:t>kombinovanou formou</w:t>
        </w:r>
      </w:hyperlink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 (dálkový typ studia), například při práci. Máte-li zájem o denní studium programu Elektrotechnika - </w:t>
      </w:r>
      <w:proofErr w:type="spellStart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mechatronické</w:t>
      </w:r>
      <w:proofErr w:type="spellEnd"/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 xml:space="preserve"> systémy - přečtěte si </w:t>
      </w:r>
      <w:hyperlink r:id="rId18" w:tooltip="Kritéria přijímacího řízení" w:history="1">
        <w:r w:rsidRPr="00305469">
          <w:rPr>
            <w:rFonts w:ascii="Trebuchet MS" w:eastAsia="Times New Roman" w:hAnsi="Trebuchet MS" w:cs="Times New Roman"/>
            <w:color w:val="0E731A"/>
            <w:sz w:val="18"/>
            <w:szCs w:val="18"/>
            <w:u w:val="single"/>
            <w:lang w:eastAsia="cs-CZ"/>
          </w:rPr>
          <w:t>informace pro zájemce</w:t>
        </w:r>
      </w:hyperlink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 denního studia.</w:t>
      </w:r>
    </w:p>
    <w:p w:rsidR="00305469" w:rsidRPr="00305469" w:rsidRDefault="00305469" w:rsidP="00305469">
      <w:pPr>
        <w:shd w:val="clear" w:color="auto" w:fill="ECF2F8"/>
        <w:spacing w:before="120" w:after="120" w:line="270" w:lineRule="atLeast"/>
        <w:jc w:val="both"/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</w:pPr>
      <w:hyperlink r:id="rId19" w:history="1">
        <w:r w:rsidRPr="00305469">
          <w:rPr>
            <w:rFonts w:ascii="Trebuchet MS" w:eastAsia="Times New Roman" w:hAnsi="Trebuchet MS" w:cs="Times New Roman"/>
            <w:color w:val="0E731A"/>
            <w:sz w:val="18"/>
            <w:szCs w:val="18"/>
            <w:u w:val="single"/>
            <w:lang w:eastAsia="cs-CZ"/>
          </w:rPr>
          <w:t>Den otevřených dveří</w:t>
        </w:r>
      </w:hyperlink>
      <w:r w:rsidRPr="00305469">
        <w:rPr>
          <w:rFonts w:ascii="Trebuchet MS" w:eastAsia="Times New Roman" w:hAnsi="Trebuchet MS" w:cs="Times New Roman"/>
          <w:color w:val="485E88"/>
          <w:sz w:val="18"/>
          <w:szCs w:val="18"/>
          <w:lang w:eastAsia="cs-CZ"/>
        </w:rPr>
        <w:t>, každou středu od 8 do 16 hodin, kde se dozvíte všechny potřebné informace o studiu.</w:t>
      </w:r>
    </w:p>
    <w:p w:rsidR="00E50DE0" w:rsidRDefault="00E50DE0">
      <w:bookmarkStart w:id="1" w:name="_GoBack"/>
      <w:bookmarkEnd w:id="1"/>
    </w:p>
    <w:sectPr w:rsidR="00E5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A65"/>
    <w:multiLevelType w:val="multilevel"/>
    <w:tmpl w:val="9FF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69"/>
    <w:rsid w:val="00305469"/>
    <w:rsid w:val="00E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6A1E-FAC8-46C2-B679-DF1DB13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05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054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054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0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5469"/>
    <w:rPr>
      <w:color w:val="0000FF"/>
      <w:u w:val="single"/>
    </w:rPr>
  </w:style>
  <w:style w:type="paragraph" w:customStyle="1" w:styleId="paragraph">
    <w:name w:val="paragraph"/>
    <w:basedOn w:val="Normln"/>
    <w:rsid w:val="0030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su.cz/galerie/tinymce/vos/Mechatronika.png" TargetMode="External"/><Relationship Id="rId13" Type="http://schemas.openxmlformats.org/officeDocument/2006/relationships/hyperlink" Target="http://www.copsu.cz/galerie/tinymce/vos/Automatizace.png" TargetMode="External"/><Relationship Id="rId18" Type="http://schemas.openxmlformats.org/officeDocument/2006/relationships/hyperlink" Target="http://www.copsu.cz/cs/zajemci/prijimaci-rizeni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psu.cz/cs/nabidka-oboru/obory-vyssi-odborne-skoly/elektrotechnika-mechatronicke-systemy.html" TargetMode="External"/><Relationship Id="rId12" Type="http://schemas.openxmlformats.org/officeDocument/2006/relationships/hyperlink" Target="http://apps.copsu.cz/moodleVOS/mod/folder/view.php?id=307" TargetMode="External"/><Relationship Id="rId17" Type="http://schemas.openxmlformats.org/officeDocument/2006/relationships/hyperlink" Target="http://www.copsu.cz/cs/nabidka-oboru/obory-vyssi-odborne-skoly/elektrotechnika-mechatronicke-systemy/elektrotechnika-mechatronicke-systemy-pro-dalkove-studium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psu.cz/cs/nabidka-oboru/obory-vyssi-odborne-skoly/elektrotechnika-mechatronicke-systemy.htm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copsu.cz/cs/nabidka-oboru/obory-vyssi-odborne-skoly/elektrotechnika-mechatronicke-systemy.html" TargetMode="External"/><Relationship Id="rId15" Type="http://schemas.openxmlformats.org/officeDocument/2006/relationships/hyperlink" Target="http://www.copsu.cz/galerie/tinymce/vos/Prezentace_Aula2.png" TargetMode="External"/><Relationship Id="rId10" Type="http://schemas.openxmlformats.org/officeDocument/2006/relationships/hyperlink" Target="http://www.copsu.cz/galerie/tinymce/vos/C227_IMG_7673.png" TargetMode="External"/><Relationship Id="rId19" Type="http://schemas.openxmlformats.org/officeDocument/2006/relationships/hyperlink" Target="http://www.copsu.cz/cs/zajemci/informace-pro-uchazec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Brcková Jana</dc:creator>
  <cp:keywords/>
  <dc:description/>
  <cp:lastModifiedBy>Brcková Jana</cp:lastModifiedBy>
  <cp:revision>1</cp:revision>
  <dcterms:created xsi:type="dcterms:W3CDTF">2019-08-02T11:00:00Z</dcterms:created>
  <dcterms:modified xsi:type="dcterms:W3CDTF">2019-08-02T11:01:00Z</dcterms:modified>
</cp:coreProperties>
</file>