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40" w:rsidRPr="006B6540" w:rsidRDefault="006B6540" w:rsidP="006B6540">
      <w:pPr>
        <w:keepNext/>
        <w:keepLines/>
        <w:spacing w:before="360" w:after="360"/>
        <w:outlineLvl w:val="1"/>
        <w:rPr>
          <w:rFonts w:asciiTheme="majorHAnsi" w:eastAsiaTheme="majorEastAsia" w:hAnsiTheme="majorHAnsi" w:cstheme="majorBidi"/>
          <w:sz w:val="32"/>
          <w:szCs w:val="26"/>
          <w:u w:val="single"/>
        </w:rPr>
      </w:pPr>
      <w:bookmarkStart w:id="0" w:name="_Toc146703316"/>
      <w:r w:rsidRPr="006B6540">
        <w:rPr>
          <w:rFonts w:asciiTheme="majorHAnsi" w:eastAsiaTheme="majorEastAsia" w:hAnsiTheme="majorHAnsi" w:cstheme="majorBidi"/>
          <w:sz w:val="32"/>
          <w:szCs w:val="26"/>
          <w:u w:val="single"/>
        </w:rPr>
        <w:t>Vize školy, její zaměření a hlavní vzdělávací cíle</w:t>
      </w:r>
      <w:bookmarkEnd w:id="0"/>
      <w:r>
        <w:rPr>
          <w:rFonts w:asciiTheme="majorHAnsi" w:eastAsiaTheme="majorEastAsia" w:hAnsiTheme="majorHAnsi" w:cstheme="majorBidi"/>
          <w:sz w:val="32"/>
          <w:szCs w:val="26"/>
          <w:u w:val="single"/>
        </w:rPr>
        <w:t xml:space="preserve"> </w:t>
      </w:r>
      <w:bookmarkStart w:id="1" w:name="_GoBack"/>
      <w:bookmarkEnd w:id="1"/>
    </w:p>
    <w:p w:rsidR="006B6540" w:rsidRPr="006B6540" w:rsidRDefault="006B6540" w:rsidP="006B6540">
      <w:pPr>
        <w:spacing w:before="360" w:after="240"/>
        <w:jc w:val="center"/>
        <w:rPr>
          <w:sz w:val="24"/>
        </w:rPr>
      </w:pPr>
      <w:r w:rsidRPr="006B6540">
        <w:rPr>
          <w:b/>
          <w:sz w:val="24"/>
        </w:rPr>
        <w:t>Mise</w:t>
      </w:r>
      <w:r w:rsidRPr="006B6540">
        <w:rPr>
          <w:sz w:val="24"/>
        </w:rPr>
        <w:t>: Jaké je naše poslání? Jsme škola, kde jsou děti spokojené a učení je baví.</w:t>
      </w:r>
    </w:p>
    <w:p w:rsidR="006B6540" w:rsidRPr="006B6540" w:rsidRDefault="006B6540" w:rsidP="006B6540">
      <w:pPr>
        <w:spacing w:before="360" w:after="240"/>
        <w:jc w:val="center"/>
        <w:rPr>
          <w:sz w:val="24"/>
        </w:rPr>
      </w:pPr>
      <w:r w:rsidRPr="006B6540">
        <w:rPr>
          <w:b/>
          <w:sz w:val="24"/>
        </w:rPr>
        <w:t>Vize</w:t>
      </w:r>
      <w:r w:rsidRPr="006B6540">
        <w:rPr>
          <w:sz w:val="24"/>
        </w:rPr>
        <w:t>: Kam směřujeme? Každý žák se učí naplno a s radostí a své učení si řídí.</w:t>
      </w:r>
    </w:p>
    <w:p w:rsidR="006B6540" w:rsidRPr="006B6540" w:rsidRDefault="006B6540" w:rsidP="006B6540">
      <w:pPr>
        <w:spacing w:before="360" w:after="240"/>
        <w:ind w:left="12"/>
        <w:rPr>
          <w:rFonts w:cstheme="minorHAnsi"/>
          <w:b/>
          <w:sz w:val="24"/>
          <w:szCs w:val="24"/>
        </w:rPr>
      </w:pPr>
      <w:r w:rsidRPr="006B6540">
        <w:rPr>
          <w:rFonts w:cstheme="minorHAnsi"/>
          <w:b/>
          <w:sz w:val="24"/>
          <w:szCs w:val="24"/>
        </w:rPr>
        <w:t>O jaké hodnoty se opíráme?</w:t>
      </w:r>
    </w:p>
    <w:p w:rsidR="006B6540" w:rsidRPr="006B6540" w:rsidRDefault="006B6540" w:rsidP="006B6540">
      <w:pPr>
        <w:spacing w:before="360" w:after="240"/>
        <w:rPr>
          <w:rFonts w:cstheme="minorHAnsi"/>
          <w:iCs/>
          <w:sz w:val="24"/>
        </w:rPr>
      </w:pPr>
      <w:r w:rsidRPr="006B6540">
        <w:rPr>
          <w:rFonts w:cstheme="minorHAnsi"/>
          <w:b/>
          <w:i/>
          <w:iCs/>
          <w:sz w:val="24"/>
        </w:rPr>
        <w:t>Důvěra</w:t>
      </w:r>
      <w:r w:rsidRPr="006B6540">
        <w:rPr>
          <w:rFonts w:cstheme="minorHAnsi"/>
          <w:i/>
          <w:iCs/>
          <w:sz w:val="24"/>
        </w:rPr>
        <w:t xml:space="preserve"> – vytváříme bezpečný a otevřený prostor, kde se žáci učí rozumět sobě i druhým. Každý z nás je jiný - volíme přijetí rozmanitostí, autenticitu a pravdivost. Věříme, že každý může růst a zlepšovat své dovednosti v bezpečném prostoru naplněném důvěrou a pozitivními očekáváními. </w:t>
      </w:r>
    </w:p>
    <w:p w:rsidR="006B6540" w:rsidRPr="006B6540" w:rsidRDefault="006B6540" w:rsidP="006B6540">
      <w:pPr>
        <w:spacing w:before="360" w:after="240"/>
        <w:rPr>
          <w:rFonts w:cstheme="minorHAnsi"/>
          <w:iCs/>
          <w:sz w:val="24"/>
        </w:rPr>
      </w:pPr>
      <w:r w:rsidRPr="006B6540">
        <w:rPr>
          <w:rFonts w:cstheme="minorHAnsi"/>
          <w:b/>
          <w:i/>
          <w:iCs/>
          <w:sz w:val="24"/>
        </w:rPr>
        <w:t>Smysluplnost</w:t>
      </w:r>
      <w:r w:rsidRPr="006B6540">
        <w:rPr>
          <w:rFonts w:cstheme="minorHAnsi"/>
          <w:i/>
          <w:iCs/>
          <w:sz w:val="24"/>
        </w:rPr>
        <w:t xml:space="preserve">  - zaměřujeme se na rozvoj dovedností důležitých pro úspěšný život – připojujeme se ke vzdělávacím cílům, které jsou užitečné, dávají smysl a připravují žáky na výzvy ve 21. století. Propojujeme učení se zážitky a zkušenostmi.  </w:t>
      </w:r>
    </w:p>
    <w:p w:rsidR="006B6540" w:rsidRPr="006B6540" w:rsidRDefault="006B6540" w:rsidP="006B6540">
      <w:pPr>
        <w:spacing w:before="360" w:after="240"/>
        <w:rPr>
          <w:rFonts w:cstheme="minorHAnsi"/>
          <w:iCs/>
          <w:sz w:val="24"/>
        </w:rPr>
      </w:pPr>
      <w:r w:rsidRPr="006B6540">
        <w:rPr>
          <w:rFonts w:cstheme="minorHAnsi"/>
          <w:b/>
          <w:i/>
          <w:iCs/>
          <w:sz w:val="24"/>
        </w:rPr>
        <w:t>Podporující přístup</w:t>
      </w:r>
      <w:r w:rsidRPr="006B6540">
        <w:rPr>
          <w:rFonts w:cstheme="minorHAnsi"/>
          <w:i/>
          <w:iCs/>
          <w:sz w:val="24"/>
        </w:rPr>
        <w:t xml:space="preserve"> – přistupujeme k druhým s respektem a empatií. Efektivní komunikací utváříme zdravé normy, sebevědomí, pečujeme o vzájemné vztahy. Přizpůsobujeme učení a způsoby výuky žákům – víme, že každý se učí jinak. </w:t>
      </w:r>
    </w:p>
    <w:p w:rsidR="006B6540" w:rsidRPr="006B6540" w:rsidRDefault="006B6540" w:rsidP="006B6540">
      <w:pPr>
        <w:spacing w:before="360" w:after="240"/>
        <w:rPr>
          <w:rFonts w:cstheme="minorHAnsi"/>
          <w:iCs/>
          <w:sz w:val="24"/>
        </w:rPr>
      </w:pPr>
      <w:r w:rsidRPr="006B6540">
        <w:rPr>
          <w:rFonts w:cstheme="minorHAnsi"/>
          <w:b/>
          <w:i/>
          <w:iCs/>
          <w:sz w:val="24"/>
        </w:rPr>
        <w:t>Aktivní učení</w:t>
      </w:r>
      <w:r w:rsidRPr="006B6540">
        <w:rPr>
          <w:rFonts w:cstheme="minorHAnsi"/>
          <w:i/>
          <w:iCs/>
          <w:sz w:val="24"/>
        </w:rPr>
        <w:t xml:space="preserve"> – zapojujeme žáky do učení, podporujeme jejich aktivitu, iniciativu a vnitřní motivaci. Učíme je přemýšlet, řešit problémy, kriticky myslet. Učíme moderními metodami  - záleží nám na tom, aby žáky učení bavilo a přinášelo jim radost z poznávání. </w:t>
      </w:r>
    </w:p>
    <w:p w:rsidR="006B6540" w:rsidRPr="006B6540" w:rsidRDefault="006B6540" w:rsidP="006B6540">
      <w:pPr>
        <w:spacing w:before="360" w:after="240"/>
        <w:rPr>
          <w:rFonts w:cstheme="minorHAnsi"/>
          <w:iCs/>
          <w:sz w:val="24"/>
        </w:rPr>
      </w:pPr>
      <w:r w:rsidRPr="006B6540">
        <w:rPr>
          <w:rFonts w:cstheme="minorHAnsi"/>
          <w:b/>
          <w:i/>
          <w:iCs/>
          <w:sz w:val="24"/>
        </w:rPr>
        <w:t xml:space="preserve">Spolupráce </w:t>
      </w:r>
      <w:r w:rsidRPr="006B6540">
        <w:rPr>
          <w:rFonts w:cstheme="minorHAnsi"/>
          <w:i/>
          <w:iCs/>
          <w:sz w:val="24"/>
        </w:rPr>
        <w:t xml:space="preserve">–  v učení je mnoho příležitosti pro společné řešení problémů a spolupráci. Učíme se komunikovat, vést dialog, diskutovat a argumentovat, projevovat vlastní a respektovat jiný názor. Zažíváme situace, ve kterých společnými nápady a spoluprací dosahujeme lepších výsledků, než bychom dosáhli sami. Rosteme a učíme se s lidmi a mezi nimi, malí i velcí. Jsme učící se školou.  </w:t>
      </w:r>
      <w:r w:rsidRPr="006B6540">
        <w:rPr>
          <w:rFonts w:cstheme="minorHAnsi"/>
          <w:i/>
          <w:iCs/>
          <w:sz w:val="24"/>
        </w:rPr>
        <w:br/>
      </w:r>
    </w:p>
    <w:p w:rsidR="006B6540" w:rsidRPr="006B6540" w:rsidRDefault="006B6540" w:rsidP="006B6540">
      <w:pPr>
        <w:spacing w:before="360" w:after="240"/>
        <w:rPr>
          <w:rFonts w:cstheme="minorHAnsi"/>
          <w:iCs/>
          <w:sz w:val="24"/>
        </w:rPr>
      </w:pPr>
      <w:r w:rsidRPr="006B6540">
        <w:rPr>
          <w:rFonts w:cstheme="minorHAnsi"/>
          <w:b/>
          <w:i/>
          <w:iCs/>
          <w:sz w:val="24"/>
        </w:rPr>
        <w:lastRenderedPageBreak/>
        <w:t xml:space="preserve">Zodpovědnost </w:t>
      </w:r>
      <w:r w:rsidRPr="006B6540">
        <w:rPr>
          <w:rFonts w:cstheme="minorHAnsi"/>
          <w:i/>
          <w:iCs/>
          <w:sz w:val="24"/>
        </w:rPr>
        <w:t xml:space="preserve">– učíme žáky plánovat si své učení, přemýšlet nad svými potřebami, vyhodnocovat výsledky učení. Učíme je být laskaví k sobě i druhým a zodpovědně volit možnosti pro svůj růst i radost v životě. Modelujeme jednání a postoje, které přispívají k podpoře lidí, vzájemných vztahů, komunity a udržitelného světa.  </w:t>
      </w:r>
    </w:p>
    <w:p w:rsidR="006B6540" w:rsidRPr="006B6540" w:rsidRDefault="006B6540" w:rsidP="006B6540">
      <w:pPr>
        <w:keepNext/>
        <w:keepLines/>
        <w:spacing w:before="360" w:after="360"/>
        <w:outlineLvl w:val="1"/>
        <w:rPr>
          <w:rFonts w:asciiTheme="majorHAnsi" w:eastAsiaTheme="majorEastAsia" w:hAnsiTheme="majorHAnsi" w:cstheme="majorBidi"/>
          <w:sz w:val="32"/>
          <w:szCs w:val="26"/>
          <w:u w:val="single"/>
        </w:rPr>
      </w:pPr>
      <w:bookmarkStart w:id="2" w:name="_Toc146703317"/>
      <w:r w:rsidRPr="006B6540">
        <w:rPr>
          <w:rFonts w:asciiTheme="majorHAnsi" w:eastAsiaTheme="majorEastAsia" w:hAnsiTheme="majorHAnsi" w:cstheme="majorBidi"/>
          <w:sz w:val="32"/>
          <w:szCs w:val="26"/>
          <w:u w:val="single"/>
        </w:rPr>
        <w:t>Hlavní vzdělávací cíle</w:t>
      </w:r>
      <w:bookmarkEnd w:id="2"/>
    </w:p>
    <w:p w:rsidR="006B6540" w:rsidRPr="006B6540" w:rsidRDefault="006B6540" w:rsidP="006B6540">
      <w:pPr>
        <w:spacing w:before="360" w:after="120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Zcela záměrně nevytyčujeme nějakou zvláštní specializaci (ač v našem učebním plánu klademe důraz na výuku angličtiny a promyšlený systém volitelných předmětů), neboť naší základní ambicí je vytvořit dostatečně širokou a variabilní nabídku, která uspokojí nejrozmanitější požadavky na vzdělávání našich žáků.</w:t>
      </w:r>
    </w:p>
    <w:p w:rsidR="006B6540" w:rsidRPr="006B6540" w:rsidRDefault="006B6540" w:rsidP="006B6540">
      <w:pPr>
        <w:spacing w:before="360" w:after="120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 xml:space="preserve"> Hlavní vzdělávací cíle naší školy jsme proto vytýčili v souladu s Rámcovým vzdělávacím programem pro základní vzdělávání:</w:t>
      </w:r>
    </w:p>
    <w:p w:rsidR="006B6540" w:rsidRPr="006B6540" w:rsidRDefault="006B6540" w:rsidP="006B6540">
      <w:pPr>
        <w:spacing w:before="360" w:after="120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  <w:u w:val="single"/>
        </w:rPr>
        <w:t>Žák naší školy se v průběhu školní docházky učí</w:t>
      </w:r>
      <w:r w:rsidRPr="006B6540">
        <w:rPr>
          <w:rFonts w:cstheme="minorHAnsi"/>
          <w:sz w:val="24"/>
          <w:szCs w:val="24"/>
        </w:rPr>
        <w:t>: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 xml:space="preserve">používat potřebné strategie učení 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tvořivě myslet, logicky uvažovat a řešit problémy</w:t>
      </w:r>
    </w:p>
    <w:p w:rsidR="006B6540" w:rsidRPr="006B6540" w:rsidRDefault="006B6540" w:rsidP="006B6540">
      <w:pPr>
        <w:numPr>
          <w:ilvl w:val="0"/>
          <w:numId w:val="1"/>
        </w:numPr>
        <w:tabs>
          <w:tab w:val="num" w:pos="851"/>
        </w:tabs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všestranně, účinně a otevřeně komunikovat (včetně komunikace v cizích jazycích a komunikace prostřednictvím moderních informačních a komunikačních technologií)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spolupracovat a respektovat práci a úspěchy vlastní i druhých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projevovat se jako svébytná, svobodná a zodpovědná osobnost, uplatňovat svá práva a plnit své povinnosti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projevovat pozitivní city v chování, jednání a v prožívání životních situací, vnímavosti a pěstování citlivých vztahů k lidem, svému prostředí i   k přírodě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lastRenderedPageBreak/>
        <w:t>aktivně rozvíjet a chránit své fyzické, duševní a sociální zdraví a být za ně odpovědný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žít společně s ostatními lidmi, být tolerantní a ohleduplný k jiným lidem, jejich kulturám a duchovním hodnotám</w:t>
      </w:r>
    </w:p>
    <w:p w:rsidR="006B6540" w:rsidRPr="006B6540" w:rsidRDefault="006B6540" w:rsidP="006B6540">
      <w:pPr>
        <w:numPr>
          <w:ilvl w:val="0"/>
          <w:numId w:val="1"/>
        </w:numPr>
        <w:spacing w:before="360" w:after="0" w:line="240" w:lineRule="auto"/>
        <w:jc w:val="both"/>
        <w:rPr>
          <w:rFonts w:cstheme="minorHAnsi"/>
          <w:sz w:val="24"/>
          <w:szCs w:val="24"/>
        </w:rPr>
      </w:pPr>
      <w:r w:rsidRPr="006B6540">
        <w:rPr>
          <w:rFonts w:cstheme="minorHAnsi"/>
          <w:sz w:val="24"/>
          <w:szCs w:val="24"/>
        </w:rPr>
        <w:t>poznat a rozvíjet své vlastní schopnosti v souladu s reálnými možnostmi a uplatňovat je spolu s osvojenými vědomostmi a dovednostmi při rozhodování o vlastní životní a profesní orientaci</w:t>
      </w:r>
    </w:p>
    <w:p w:rsidR="006B6540" w:rsidRDefault="006B6540" w:rsidP="006B6540">
      <w:pPr>
        <w:rPr>
          <w:rFonts w:cstheme="minorHAnsi"/>
          <w:iCs/>
          <w:sz w:val="24"/>
        </w:rPr>
      </w:pPr>
    </w:p>
    <w:p w:rsidR="006B6540" w:rsidRPr="006B6540" w:rsidRDefault="006B6540" w:rsidP="006B6540">
      <w:pPr>
        <w:keepNext/>
        <w:keepLines/>
        <w:spacing w:before="360" w:after="360"/>
        <w:outlineLvl w:val="1"/>
        <w:rPr>
          <w:rFonts w:asciiTheme="majorHAnsi" w:eastAsiaTheme="majorEastAsia" w:hAnsiTheme="majorHAnsi" w:cstheme="majorBidi"/>
          <w:sz w:val="32"/>
          <w:szCs w:val="26"/>
          <w:u w:val="single"/>
        </w:rPr>
      </w:pPr>
      <w:bookmarkStart w:id="3" w:name="_Toc146703318"/>
      <w:r w:rsidRPr="006B6540">
        <w:rPr>
          <w:rFonts w:asciiTheme="majorHAnsi" w:eastAsiaTheme="majorEastAsia" w:hAnsiTheme="majorHAnsi" w:cstheme="majorBidi"/>
          <w:sz w:val="32"/>
          <w:szCs w:val="26"/>
          <w:u w:val="single"/>
        </w:rPr>
        <w:t>Budování a rozvoj klíčových kompetencí a výchovné a vzdělávací strategie školy</w:t>
      </w:r>
      <w:bookmarkEnd w:id="3"/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Budování a rozvoj klíčových kompetencí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Hlavním vzdělávacím cílům, které jsme si vytýčili v souladu s Rámcovým vzdělávacím programem, odpovídá i výčet klíčových kompetencí (jak jsou v rámcovém programu vymezeny), jimiž chceme vybavit všechny žáky školy na úrovni, která je pro ně dosažitelná. Těmito klíčovými kompetencemi jsou: </w:t>
      </w:r>
    </w:p>
    <w:p w:rsidR="006B6540" w:rsidRPr="006B6540" w:rsidRDefault="006B6540" w:rsidP="006B6540">
      <w:pPr>
        <w:numPr>
          <w:ilvl w:val="0"/>
          <w:numId w:val="2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kompetence k učení </w:t>
      </w:r>
    </w:p>
    <w:p w:rsidR="006B6540" w:rsidRPr="006B6540" w:rsidRDefault="006B6540" w:rsidP="006B6540">
      <w:pPr>
        <w:numPr>
          <w:ilvl w:val="0"/>
          <w:numId w:val="2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kompetence k řešení problémů </w:t>
      </w:r>
    </w:p>
    <w:p w:rsidR="006B6540" w:rsidRPr="006B6540" w:rsidRDefault="006B6540" w:rsidP="006B6540">
      <w:pPr>
        <w:numPr>
          <w:ilvl w:val="0"/>
          <w:numId w:val="2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kompetence komunikativní </w:t>
      </w:r>
    </w:p>
    <w:p w:rsidR="006B6540" w:rsidRPr="006B6540" w:rsidRDefault="006B6540" w:rsidP="006B6540">
      <w:pPr>
        <w:numPr>
          <w:ilvl w:val="0"/>
          <w:numId w:val="2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kompetence sociální a personální </w:t>
      </w:r>
    </w:p>
    <w:p w:rsidR="006B6540" w:rsidRPr="006B6540" w:rsidRDefault="006B6540" w:rsidP="006B6540">
      <w:pPr>
        <w:numPr>
          <w:ilvl w:val="0"/>
          <w:numId w:val="2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kompetence občanské </w:t>
      </w:r>
    </w:p>
    <w:p w:rsidR="006B6540" w:rsidRPr="006B6540" w:rsidRDefault="006B6540" w:rsidP="006B6540">
      <w:pPr>
        <w:numPr>
          <w:ilvl w:val="0"/>
          <w:numId w:val="2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>kompetence pracovní</w:t>
      </w:r>
    </w:p>
    <w:p w:rsidR="006B6540" w:rsidRPr="006B6540" w:rsidRDefault="006B6540" w:rsidP="006B6540">
      <w:pPr>
        <w:numPr>
          <w:ilvl w:val="0"/>
          <w:numId w:val="2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>kompetence digitální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>Úsilí o skutečné (neformální) postupné budování klíčových kompetencí u našich žáků nás vedlo k tomu, že jsme jednotlivé kompetence podrobně rozklíčili na konkrétní dovednosti, prostřednictvím jejichž osvojování se tyto kompetence vytvářejí a rozvíjejí, a ty jsme pak rozčlenili do tří vývojových úrovní. (Toto podrobné „</w:t>
      </w:r>
      <w:proofErr w:type="spellStart"/>
      <w:r w:rsidRPr="006B6540">
        <w:rPr>
          <w:sz w:val="24"/>
        </w:rPr>
        <w:t>rozklíčení</w:t>
      </w:r>
      <w:proofErr w:type="spellEnd"/>
      <w:r w:rsidRPr="006B6540">
        <w:rPr>
          <w:sz w:val="24"/>
        </w:rPr>
        <w:t xml:space="preserve">“ klíčových kompetencí je obsahem přílohy našeho školního vzdělávacího programu.)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 Cíleného rozvoje takto zformulovaných dílčích složek klíčových kompetencí dosahujeme prostřednictvím různých postupů: </w:t>
      </w:r>
    </w:p>
    <w:p w:rsidR="006B6540" w:rsidRPr="006B6540" w:rsidRDefault="006B6540" w:rsidP="006B6540">
      <w:pPr>
        <w:numPr>
          <w:ilvl w:val="0"/>
          <w:numId w:val="3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lastRenderedPageBreak/>
        <w:t xml:space="preserve">včleněním těchto konkrétních dovedností do očekávaných výstupů jednotlivých předmětů (například mnohé dovednosti vedoucí k rozvoji kompetencí komunikativních se přímo staly očekávanými výstupy v předmětu jazyk český), k jejichž naplnění směřuje výuka v rámci těchto předmětů </w:t>
      </w:r>
    </w:p>
    <w:p w:rsidR="006B6540" w:rsidRPr="006B6540" w:rsidRDefault="006B6540" w:rsidP="006B6540">
      <w:pPr>
        <w:numPr>
          <w:ilvl w:val="0"/>
          <w:numId w:val="3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vhodným propojením těchto dovedností s oborovými kompetencemi </w:t>
      </w:r>
    </w:p>
    <w:p w:rsidR="006B6540" w:rsidRPr="006B6540" w:rsidRDefault="006B6540" w:rsidP="006B6540">
      <w:pPr>
        <w:numPr>
          <w:ilvl w:val="0"/>
          <w:numId w:val="3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vytyčováním speciálních dovednostních cílů, které si učitel podle potřeb rozvoje svých žáků stanovuje pro jednotlivé či několik po sobě následujících vyučovacích jednotek společně s cílem poznávacím a uvědoměle s nimi pracuje (od jejich oznámení žákům, přes vysvětlení jejich významu, jejich reflektované modelování v činnosti učitele, procvičování a vyhodnocení, jak se je dařilo naplnit) </w:t>
      </w:r>
    </w:p>
    <w:p w:rsidR="006B6540" w:rsidRPr="006B6540" w:rsidRDefault="006B6540" w:rsidP="006B6540">
      <w:pPr>
        <w:numPr>
          <w:ilvl w:val="0"/>
          <w:numId w:val="3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reflektovaným procvičováním těchto dovedností  prostřednictvím promyšleného výběru vyučovacích metod (pomocníkem učitele naší školy je tu postupně vytvářený školní Zásobník metod a forem práce s jejich popisem a analýzou toho, které dovednosti žáků jejich použití rozvíjí) </w:t>
      </w:r>
    </w:p>
    <w:p w:rsidR="006B6540" w:rsidRPr="006B6540" w:rsidRDefault="006B6540" w:rsidP="006B6540">
      <w:pPr>
        <w:numPr>
          <w:ilvl w:val="0"/>
          <w:numId w:val="3"/>
        </w:numPr>
        <w:spacing w:before="360" w:after="240"/>
        <w:contextualSpacing/>
        <w:rPr>
          <w:rFonts w:ascii="Calibri" w:eastAsia="Calibri" w:hAnsi="Calibri" w:cs="Times New Roman"/>
        </w:rPr>
      </w:pPr>
      <w:r w:rsidRPr="006B6540">
        <w:rPr>
          <w:rFonts w:ascii="Calibri" w:eastAsia="Calibri" w:hAnsi="Calibri" w:cs="Times New Roman"/>
        </w:rPr>
        <w:t xml:space="preserve">a konečně i prostřednictvím speciálně zvolených aktivit používaných nejen ve výuce, ale i při různých dalších činnostech s žáky.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Výchovné a vzdělávací strategie školy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Základem budování a rozvoje klíčových kompetencí žáků je samozřejmě systém výuky na škole a to, které společné výchovné a vzdělávací strategie v něm upřednostňujeme.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Při vyučování na naší škole postupně směřujeme od </w:t>
      </w:r>
      <w:proofErr w:type="spellStart"/>
      <w:r w:rsidRPr="006B6540">
        <w:rPr>
          <w:sz w:val="24"/>
        </w:rPr>
        <w:t>transmisivního</w:t>
      </w:r>
      <w:proofErr w:type="spellEnd"/>
      <w:r w:rsidRPr="006B6540">
        <w:rPr>
          <w:sz w:val="24"/>
        </w:rPr>
        <w:t xml:space="preserve"> přístupu, kdy učitel předává žákům hotové poznatky, ke konstruktivistickému přístupu, kdy si žáci za pomoci učitele konstruují na základě svých již dříve vytvořených myšlenkových schémat nové znalosti a dovednosti. Hlavním úkolem učitele je při tomto pojetí volit pro učení žáků vhodnou metodu, která vytváří optimální podmínky pro evokaci (oživení, </w:t>
      </w:r>
      <w:proofErr w:type="spellStart"/>
      <w:r w:rsidRPr="006B6540">
        <w:rPr>
          <w:sz w:val="24"/>
        </w:rPr>
        <w:t>znovuvybavení</w:t>
      </w:r>
      <w:proofErr w:type="spellEnd"/>
      <w:r w:rsidRPr="006B6540">
        <w:rPr>
          <w:sz w:val="24"/>
        </w:rPr>
        <w:t xml:space="preserve"> si) jejich již dříve osvojených poznatků, pro jejich porovnání s nově získávanými informacemi, pro jejich rozvinutí, pro jejich nové utřídění a nakonec i pro jejich nové osvojení.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Toto pojetí vyučování je ve své podstatě individualizované, velký význam tu však mají i interakce mezi žáky navzájem. Vedle individuální práce tedy hojně používáme i kooperativní činnosti. Vedle práce ve dvojicích a v různě velkých skupinách používáme na 1. stupni i práci v centrech aktivity, kde skupiny žáků ve stejném čase plní úkoly z různých oblastí a předmětů. Samozřejmě používáme i frontální činnosti, a to tam, kde jsou účelné a efektivní. Často používanou formou vyučování, hlavně na 1. stupni, je rovněž kruh (ranní, komunitní, hodnotící), který napomáhá rozvoji mnoha životních dovedností našich žáků.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Chceme, aby to, čemu se děti ve škole učí, odpovídalo co nejvíce skutečnému životu. Proto často – zejména na 1. stupni – propojujeme učivo do integrovaných tematických celků (kdy si jednotlivá integrující témata nebo jejich konkrétnější náplň mohou zčásti určit žáci sami podle svých </w:t>
      </w:r>
      <w:r w:rsidRPr="006B6540">
        <w:rPr>
          <w:sz w:val="24"/>
        </w:rPr>
        <w:lastRenderedPageBreak/>
        <w:t xml:space="preserve">zájmů) a používáme projektovou výuku. Do vyučování účelně zařazujeme vycházky, exkurze, pokusy a experimenty. Třídy otevíráme rodičům i dalším hostům, kteří mají možnost navštěvovat vyučování jako prostí pozorovatelé, pomocníci (asistenti) učitele nebo experti na nějakou oblast.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Třídní kolektiv, v němž především si žáci budují své životní a oborové kompetence, nemůže být uzavřenou sebestřednou jednotkou. Tam, kde je to možné a smysluplné, se využívá spolupráce s ostatními třídami, ať už při </w:t>
      </w:r>
      <w:proofErr w:type="spellStart"/>
      <w:r w:rsidRPr="006B6540">
        <w:rPr>
          <w:sz w:val="24"/>
        </w:rPr>
        <w:t>meziročníkových</w:t>
      </w:r>
      <w:proofErr w:type="spellEnd"/>
      <w:r w:rsidRPr="006B6540">
        <w:rPr>
          <w:sz w:val="24"/>
        </w:rPr>
        <w:t xml:space="preserve"> nebo i celoškolních projektech.  </w:t>
      </w:r>
    </w:p>
    <w:p w:rsidR="006B6540" w:rsidRPr="006B6540" w:rsidRDefault="006B6540" w:rsidP="006B6540">
      <w:pPr>
        <w:spacing w:before="360" w:after="240"/>
        <w:rPr>
          <w:sz w:val="24"/>
        </w:rPr>
      </w:pPr>
      <w:r w:rsidRPr="006B6540">
        <w:rPr>
          <w:sz w:val="24"/>
        </w:rPr>
        <w:t xml:space="preserve">K rozvoji jednotlivých kompetencí používáme na škole zejména společně domluvených výchovných a vzdělávacích strategií, které jsou vymezeny na dalších stranách tohoto dokumentu. </w:t>
      </w:r>
    </w:p>
    <w:p w:rsidR="006B6540" w:rsidRPr="006B6540" w:rsidRDefault="006B6540" w:rsidP="006B6540">
      <w:pPr>
        <w:spacing w:before="360" w:after="240"/>
        <w:rPr>
          <w:sz w:val="24"/>
        </w:rPr>
      </w:pPr>
    </w:p>
    <w:p w:rsidR="0008150A" w:rsidRDefault="0008150A"/>
    <w:sectPr w:rsidR="0008150A" w:rsidSect="006B6540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5B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E80955"/>
    <w:multiLevelType w:val="hybridMultilevel"/>
    <w:tmpl w:val="7E528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51B8C"/>
    <w:multiLevelType w:val="hybridMultilevel"/>
    <w:tmpl w:val="E2D49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40"/>
    <w:rsid w:val="0008150A"/>
    <w:rsid w:val="006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2861"/>
  <w15:chartTrackingRefBased/>
  <w15:docId w15:val="{518C9C41-5623-42AA-994E-DBD12F9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1175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Mechúrová Leona</dc:creator>
  <cp:keywords/>
  <dc:description/>
  <cp:lastModifiedBy>Mechúrová Leona</cp:lastModifiedBy>
  <cp:revision>1</cp:revision>
  <dcterms:created xsi:type="dcterms:W3CDTF">2023-10-18T12:35:00Z</dcterms:created>
  <dcterms:modified xsi:type="dcterms:W3CDTF">2023-10-18T12:37:00Z</dcterms:modified>
</cp:coreProperties>
</file>